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sz w:val="24"/>
          <w:szCs w:val="24"/>
          <w:highlight w:val="none"/>
        </w:rPr>
      </w:pPr>
      <w:r>
        <w:rPr>
          <w:rFonts w:hint="eastAsia" w:ascii="宋体" w:hAnsi="宋体" w:cs="宋体"/>
          <w:b/>
          <w:bCs/>
          <w:sz w:val="24"/>
          <w:szCs w:val="24"/>
          <w:highlight w:val="none"/>
        </w:rPr>
        <w:t xml:space="preserve"> 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lang w:eastAsia="zh-CN"/>
              </w:rPr>
              <w:t>数控车配套、智能线配套</w:t>
            </w:r>
            <w:r>
              <w:rPr>
                <w:rFonts w:hint="eastAsia" w:ascii="宋体" w:hAnsi="宋体" w:cs="宋体"/>
                <w:sz w:val="22"/>
                <w:szCs w:val="22"/>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bCs/>
                <w:color w:val="000000"/>
                <w:kern w:val="0"/>
                <w:sz w:val="22"/>
                <w:highlight w:val="none"/>
              </w:rPr>
              <w:t xml:space="preserve">1批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246300.00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color w:val="000000"/>
                <w:kern w:val="0"/>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ascii="宋体" w:hAnsi="宋体" w:cs="宋体"/>
                <w:kern w:val="0"/>
                <w:sz w:val="22"/>
                <w:szCs w:val="22"/>
                <w:highlight w:val="none"/>
                <w:u w:val="single"/>
              </w:rPr>
              <w:t>▲</w:t>
            </w:r>
            <w:r>
              <w:rPr>
                <w:rFonts w:hint="eastAsia" w:ascii="宋体" w:hAnsi="宋体" w:cs="宋体"/>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税务发票）；履约保证金自验收合格之日起自动转为质量保证金，一年后无质量问题，资产管理处收到使用部门填写的质保期满验收单后7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hint="eastAsia" w:ascii="宋体" w:hAnsi="宋体" w:cs="宋体"/>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000000"/>
                <w:kern w:val="0"/>
                <w:sz w:val="22"/>
                <w:highlight w:val="none"/>
              </w:rPr>
            </w:pPr>
            <w:r>
              <w:rPr>
                <w:rFonts w:hint="eastAsia" w:ascii="宋体" w:hAnsi="宋体" w:cs="宋体"/>
                <w:sz w:val="22"/>
                <w:szCs w:val="22"/>
                <w:highlight w:val="none"/>
                <w:lang w:eastAsia="zh-CN"/>
              </w:rPr>
              <w:t>成交通知书发出后</w:t>
            </w:r>
            <w:r>
              <w:rPr>
                <w:rFonts w:hint="eastAsia" w:ascii="宋体" w:hAnsi="宋体" w:cs="宋体"/>
                <w:sz w:val="22"/>
                <w:szCs w:val="22"/>
                <w:highlight w:val="none"/>
                <w:lang w:val="en-US" w:eastAsia="zh-CN"/>
              </w:rPr>
              <w:t>45天</w:t>
            </w:r>
            <w:r>
              <w:rPr>
                <w:rFonts w:hint="eastAsia" w:ascii="宋体" w:hAnsi="宋体" w:cs="宋体"/>
                <w:sz w:val="22"/>
                <w:szCs w:val="22"/>
                <w:highlight w:val="none"/>
              </w:rPr>
              <w:t>内完成交付并验收通过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hint="eastAsia" w:ascii="宋体" w:hAnsi="宋体" w:cs="宋体"/>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000000"/>
                <w:kern w:val="0"/>
                <w:sz w:val="22"/>
                <w:highlight w:val="none"/>
              </w:rPr>
            </w:pPr>
            <w:r>
              <w:rPr>
                <w:rFonts w:hint="eastAsia" w:ascii="宋体" w:hAnsi="宋体" w:cs="宋体"/>
                <w:sz w:val="22"/>
                <w:szCs w:val="22"/>
                <w:highlight w:val="none"/>
              </w:rPr>
              <w:t>温州职业技术学院指定地点。</w:t>
            </w:r>
          </w:p>
        </w:tc>
      </w:tr>
    </w:tbl>
    <w:p>
      <w:pPr>
        <w:snapToGrid w:val="0"/>
        <w:spacing w:line="360" w:lineRule="exact"/>
        <w:rPr>
          <w:rFonts w:hint="eastAsia" w:ascii="宋体" w:hAnsi="宋体" w:cs="宋体"/>
          <w:b/>
          <w:bCs/>
          <w:sz w:val="22"/>
          <w:szCs w:val="22"/>
          <w:highlight w:val="none"/>
        </w:rPr>
      </w:pPr>
      <w:r>
        <w:rPr>
          <w:rFonts w:hint="eastAsia" w:ascii="宋体" w:hAnsi="宋体" w:cs="宋体"/>
          <w:b/>
          <w:bCs/>
          <w:spacing w:val="-6"/>
          <w:sz w:val="22"/>
          <w:szCs w:val="22"/>
          <w:highlight w:val="none"/>
        </w:rPr>
        <w:t>三</w:t>
      </w:r>
      <w:r>
        <w:rPr>
          <w:rFonts w:hint="eastAsia" w:ascii="宋体" w:hAnsi="宋体" w:cs="宋体"/>
          <w:b/>
          <w:bCs/>
          <w:kern w:val="0"/>
          <w:sz w:val="22"/>
          <w:szCs w:val="22"/>
          <w:highlight w:val="none"/>
        </w:rPr>
        <w:t>、</w:t>
      </w:r>
      <w:r>
        <w:rPr>
          <w:rFonts w:hint="eastAsia" w:ascii="宋体" w:hAnsi="宋体" w:cs="宋体"/>
          <w:b/>
          <w:bCs/>
          <w:spacing w:val="-6"/>
          <w:sz w:val="22"/>
          <w:szCs w:val="22"/>
          <w:highlight w:val="none"/>
        </w:rPr>
        <w:t>技术要求</w:t>
      </w:r>
    </w:p>
    <w:tbl>
      <w:tblPr>
        <w:tblStyle w:val="5"/>
        <w:tblW w:w="9555" w:type="dxa"/>
        <w:tblInd w:w="0" w:type="dxa"/>
        <w:tblLayout w:type="autofit"/>
        <w:tblCellMar>
          <w:top w:w="0" w:type="dxa"/>
          <w:left w:w="0" w:type="dxa"/>
          <w:bottom w:w="0" w:type="dxa"/>
          <w:right w:w="0" w:type="dxa"/>
        </w:tblCellMar>
      </w:tblPr>
      <w:tblGrid>
        <w:gridCol w:w="345"/>
        <w:gridCol w:w="2925"/>
        <w:gridCol w:w="4065"/>
        <w:gridCol w:w="570"/>
        <w:gridCol w:w="900"/>
        <w:gridCol w:w="750"/>
      </w:tblGrid>
      <w:tr>
        <w:tblPrEx>
          <w:tblCellMar>
            <w:top w:w="0" w:type="dxa"/>
            <w:left w:w="0" w:type="dxa"/>
            <w:bottom w:w="0" w:type="dxa"/>
            <w:right w:w="0" w:type="dxa"/>
          </w:tblCellMar>
        </w:tblPrEx>
        <w:trPr>
          <w:trHeight w:val="645"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外圆车刀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VB35-20×20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数控车配套</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5.71万</w:t>
            </w: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外圆车刀刀片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VB35</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切槽刀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3mm-20×20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切槽刀刀片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3mm-2刃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球刀刀片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R2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外螺纹车刀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螺距2mm-20×20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外螺纹车刀刀片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螺距2mm-3刃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梯形螺纹车刀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立装6.0mm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梯形螺纹车刀片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内孔车刀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φ12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内孔刀刀片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镗刀座</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25-φ35</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端面槽车刀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30-35mm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端面槽车刀片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内螺纹车刀</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φ12-2mm螺距</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把</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内螺纹车刀刀片</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片</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8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安全踏板</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1米×3米</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个</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039"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SMT-43080（198托盘及工件转换托板）（</w:t>
            </w:r>
            <w:r>
              <w:rPr>
                <w:rFonts w:hint="eastAsia" w:ascii="宋体" w:hAnsi="宋体" w:eastAsia="宋体" w:cs="宋体"/>
                <w:i w:val="0"/>
                <w:color w:val="auto"/>
                <w:kern w:val="0"/>
                <w:sz w:val="22"/>
                <w:szCs w:val="22"/>
                <w:highlight w:val="green"/>
                <w:u w:val="none"/>
                <w:lang w:val="en-US" w:eastAsia="zh-CN" w:bidi="ar"/>
              </w:rPr>
              <w:t>现场提供样品1套</w:t>
            </w:r>
            <w:r>
              <w:rPr>
                <w:rFonts w:hint="eastAsia" w:ascii="宋体" w:hAnsi="宋体" w:eastAsia="宋体" w:cs="宋体"/>
                <w:i w:val="0"/>
                <w:color w:val="auto"/>
                <w:kern w:val="0"/>
                <w:sz w:val="22"/>
                <w:szCs w:val="22"/>
                <w:highlight w:val="none"/>
                <w:u w:val="none"/>
                <w:lang w:val="en-US" w:eastAsia="zh-CN" w:bidi="ar"/>
              </w:rPr>
              <w:t>）</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配套：麦迅SMT150强力卡盘</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参数：重复定位精度±0.001mm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夹持方式：弹簧力</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打开气压：＞0.6pa</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最大夹持力：12000N/24000N</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表面涂层：低温DLC涂层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使用寿命：150万次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直径170mm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孔件配M8螺丝</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夹持范围250*250*250mm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转换托板配套：麦迅SMT150强力卡盘</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附带SMT-工件转换托板</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工件定位精度±0.005mm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表面涂层：低温DLC涂层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使用寿命：150万次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智能线配套</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18.92万</w:t>
            </w:r>
          </w:p>
        </w:tc>
      </w:tr>
      <w:tr>
        <w:tblPrEx>
          <w:tblCellMar>
            <w:top w:w="0" w:type="dxa"/>
            <w:left w:w="0" w:type="dxa"/>
            <w:bottom w:w="0" w:type="dxa"/>
            <w:right w:w="0" w:type="dxa"/>
          </w:tblCellMar>
        </w:tblPrEx>
        <w:trPr>
          <w:trHeight w:val="1399"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立库转运托板</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材料:铝合金6061</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尺寸：800mm*600mm*30mm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定位孔精度：≤0.02mm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定位孔位置精度：≤0.02mm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材料表面阳极氧化处理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个</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842"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2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立库转运托板</w:t>
            </w:r>
          </w:p>
        </w:tc>
        <w:tc>
          <w:tcPr>
            <w:tcW w:w="4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材料:不锈钢304</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尺寸：800mm*600mm*3mm</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承载强度100KG</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局部做加强筋处理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材料表面喷砂处理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具备基础定位功能，定位精度0.2mm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个</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842" w:hRule="atLeast"/>
        </w:trPr>
        <w:tc>
          <w:tcPr>
            <w:tcW w:w="95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pPr>
            <w:r>
              <w:rPr>
                <w:lang w:val="en-US" w:eastAsia="zh-CN"/>
              </w:rPr>
              <w:fldChar w:fldCharType="begin"/>
            </w:r>
            <w:r>
              <w:rPr>
                <w:lang w:val="en-US" w:eastAsia="zh-CN"/>
              </w:rPr>
              <w:instrText xml:space="preserve">INCLUDEPICTURE \d "D:\\我的文档\\Documents\\Tencent Files\\1713479451\\Image\\C2C\\DNJSMMGH7))3YYSY4~EK{WB.jpg" \* MERGEFORMATINET </w:instrText>
            </w:r>
            <w:r>
              <w:rPr>
                <w:lang w:val="en-US" w:eastAsia="zh-CN"/>
              </w:rPr>
              <w:fldChar w:fldCharType="separate"/>
            </w:r>
            <w:r>
              <w:rPr>
                <w:lang w:val="en-US" w:eastAsia="zh-CN"/>
              </w:rPr>
              <w:drawing>
                <wp:inline distT="0" distB="0" distL="114300" distR="114300">
                  <wp:extent cx="4088130" cy="5451475"/>
                  <wp:effectExtent l="0" t="0" r="762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88130" cy="5451475"/>
                          </a:xfrm>
                          <a:prstGeom prst="rect">
                            <a:avLst/>
                          </a:prstGeom>
                          <a:noFill/>
                          <a:ln>
                            <a:noFill/>
                          </a:ln>
                        </pic:spPr>
                      </pic:pic>
                    </a:graphicData>
                  </a:graphic>
                </wp:inline>
              </w:drawing>
            </w:r>
            <w:r>
              <w:rPr>
                <w:lang w:val="en-US" w:eastAsia="zh-CN"/>
              </w:rPr>
              <w:fldChar w:fldCharType="end"/>
            </w:r>
          </w:p>
          <w:p>
            <w:pPr>
              <w:jc w:val="both"/>
              <w:rPr>
                <w:rFonts w:hint="eastAsia"/>
              </w:rPr>
            </w:pPr>
            <w:r>
              <w:rPr>
                <w:rFonts w:hint="eastAsia"/>
              </w:rPr>
              <w:t>配套麦逊的夹具</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"D:\\我的文档\\Documents\\Tencent Files\\1713479451\\Image\\C2C\\6O)MN7J[OR0S$F$@9]}]NRO.jpg"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566285" cy="6089650"/>
                  <wp:effectExtent l="0" t="0" r="571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566285" cy="6089650"/>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pPr>
              <w:pStyle w:val="2"/>
              <w:ind w:left="0" w:leftChars="0" w:firstLine="0" w:firstLineChars="0"/>
              <w:rPr>
                <w:rFonts w:hint="eastAsia"/>
              </w:rPr>
            </w:pPr>
            <w:r>
              <w:rPr>
                <w:rFonts w:hint="eastAsia" w:ascii="Times New Roman" w:hAnsi="Times New Roman"/>
                <w:kern w:val="2"/>
                <w:sz w:val="21"/>
                <w:szCs w:val="22"/>
                <w:lang w:val="en-US" w:eastAsia="zh-CN" w:bidi="ar-SA"/>
              </w:rPr>
              <w:t>托板实物图</w:t>
            </w:r>
          </w:p>
        </w:tc>
      </w:tr>
    </w:tbl>
    <w:p>
      <w:pPr>
        <w:pStyle w:val="4"/>
        <w:ind w:left="0" w:leftChars="0" w:firstLine="0" w:firstLineChars="0"/>
        <w:rPr>
          <w:rFonts w:hint="eastAsia" w:ascii="宋体" w:hAnsi="宋体" w:cs="宋体"/>
          <w:b/>
          <w:bCs/>
          <w:spacing w:val="-6"/>
          <w:sz w:val="22"/>
          <w:szCs w:val="22"/>
          <w:highlight w:val="none"/>
        </w:rPr>
      </w:pPr>
    </w:p>
    <w:p>
      <w:pPr>
        <w:spacing w:line="360" w:lineRule="exact"/>
        <w:rPr>
          <w:rFonts w:hint="eastAsia"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hint="eastAsia"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spacing w:val="-6"/>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A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paragraph" w:styleId="3">
    <w:name w:val="Body Text Indent"/>
    <w:basedOn w:val="1"/>
    <w:uiPriority w:val="0"/>
    <w:pPr>
      <w:adjustRightInd w:val="0"/>
      <w:spacing w:line="360" w:lineRule="auto"/>
      <w:ind w:firstLine="490"/>
      <w:jc w:val="left"/>
    </w:pPr>
    <w:rPr>
      <w:rFonts w:ascii="宋体" w:hAnsi="宋体"/>
      <w:sz w:val="24"/>
    </w:rPr>
  </w:style>
  <w:style w:type="paragraph" w:styleId="4">
    <w:name w:val="Body Text First Indent 2"/>
    <w:basedOn w:val="3"/>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2019-12-02T03:06:19Z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