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288" w:lineRule="auto"/>
        <w:ind w:left="238"/>
        <w:jc w:val="center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  <w:t>询价采购需求</w:t>
      </w:r>
    </w:p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21"/>
          <w:szCs w:val="21"/>
          <w:highlight w:val="none"/>
        </w:rPr>
        <w:t>一、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项目名称及数量</w:t>
      </w:r>
    </w:p>
    <w:tbl>
      <w:tblPr>
        <w:tblStyle w:val="2"/>
        <w:tblW w:w="100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619"/>
        <w:gridCol w:w="1103"/>
        <w:gridCol w:w="1790"/>
        <w:gridCol w:w="692"/>
        <w:gridCol w:w="1046"/>
        <w:gridCol w:w="846"/>
        <w:gridCol w:w="1022"/>
        <w:gridCol w:w="650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品牌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规格型号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数量   （预估）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预算单价（元）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存放地点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分项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权重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复印纸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益思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A4纯白70g210*297mm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指定位置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（1）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复印纸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益思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8K纯白70g270*390mm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指定位置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（2）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复印纸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益思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A3纯白70g297*420mm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40.6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指定位置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（3）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复印纸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秋乐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A5/210mm*148.5mm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指定位置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彩色复印纸（大红色、柠檬黄、粉色、黄色、浅绿等）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GAG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A4/80g/1*100张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指定位置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241-4打印纸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欣乐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指定位置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备注：以上数量为上年度使用数量，作为本次招标预估数量参考，实际支付金额按中标单价×实际数量进行结算。</w:t>
            </w:r>
          </w:p>
        </w:tc>
      </w:tr>
    </w:tbl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二、采购要求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22" w:type="dxa"/>
            <w:noWrap w:val="0"/>
            <w:vAlign w:val="top"/>
          </w:tcPr>
          <w:p>
            <w:pPr>
              <w:spacing w:after="120" w:afterLines="50" w:line="360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第一：采购内容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1、采购人复印纸的一年采购总金额约为15万元左右，这项数据并非准确无误，仅供响应供应商参考。最终结算金额按照实际的配送量乘以中标单价进行结算。</w:t>
            </w:r>
          </w:p>
          <w:p>
            <w:pPr>
              <w:spacing w:after="120" w:afterLines="50" w:line="360" w:lineRule="auto"/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第二：报价要求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按清单内列明的每样复印纸单价进行报价，每样单件报价不得高于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eastAsia="zh-CN"/>
              </w:rPr>
              <w:t>对应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预算单价。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第三：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供货时间要求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1、按批次进行供货，最终供货数量按采购人通知为准。收到采购人通知后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u w:val="single"/>
              </w:rPr>
              <w:t>3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天内送达指定位置，急需货物收到采购人通知后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u w:val="single"/>
              </w:rPr>
              <w:t>1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天内送到指定位置。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2、供应商需具有一定货物的储备量，以备采购人紧急之需。如未能按时提供货物，按延迟交货处理。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第四：质量、售后服务要求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1、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供应商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拟提供的产品必须是符合国家有关规定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的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原装（全新未曾使用）的合格产品，必须证件齐全、保证质量。</w:t>
            </w:r>
          </w:p>
          <w:p>
            <w:pPr>
              <w:spacing w:after="120" w:afterLines="50" w:line="276" w:lineRule="auto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2、合格标准为：一次性验收合格。质量符合国际或国家通用标准，满足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采购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文件技术标准部分所规定的全部功能。如出现质量问题或是假冒伪劣商品，中标人负责包退、包换，由此而涉及的全部违约责任和费用由中标人承担。</w:t>
            </w:r>
          </w:p>
        </w:tc>
      </w:tr>
    </w:tbl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  <w:t>商务要求表</w:t>
      </w:r>
    </w:p>
    <w:tbl>
      <w:tblPr>
        <w:tblStyle w:val="2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  <w:t>付款条件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付款方式</w:t>
            </w:r>
          </w:p>
          <w:p>
            <w:pPr>
              <w:tabs>
                <w:tab w:val="left" w:pos="5954"/>
              </w:tabs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1、按月结算，货物验收合格后，次月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10日前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结算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上个月的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费用。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2、结算价 =  实际供货数量×中标单价。</w:t>
            </w:r>
          </w:p>
          <w:p>
            <w:pPr>
              <w:tabs>
                <w:tab w:val="left" w:pos="5954"/>
              </w:tabs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3、中标人须提供正式的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增值税普通发票。</w:t>
            </w:r>
          </w:p>
          <w:p>
            <w:pPr>
              <w:tabs>
                <w:tab w:val="left" w:pos="5954"/>
              </w:tabs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4、在合同执行过程中，所有产品的单价不得改变，如因厂家停产、产品更新等原因导致无法提供某规格产品的，则中标供应商需经采购人同意后，提供不低于所投产品质量水平的产品给采购人，且价格不得高于中标单价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  <w:t>合同期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合同供货有效期：自合同签订之日起为期一年。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  <w:t>配送时间及地点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按校方通知配送并运抵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eastAsia="zh-CN"/>
              </w:rPr>
              <w:t>指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定地点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eastAsia="zh-CN"/>
              </w:rPr>
              <w:t>（含茶山本部、瑞安学院、继教学院）</w:t>
            </w:r>
          </w:p>
        </w:tc>
      </w:tr>
    </w:tbl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spacing w:val="-6"/>
          <w:sz w:val="22"/>
          <w:szCs w:val="22"/>
          <w:highlight w:val="none"/>
        </w:rPr>
      </w:pPr>
    </w:p>
    <w:p>
      <w:pPr>
        <w:snapToGrid w:val="0"/>
        <w:spacing w:line="288" w:lineRule="auto"/>
        <w:rPr>
          <w:rFonts w:hint="eastAsia" w:ascii="宋体" w:hAnsi="宋体" w:cs="宋体"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22"/>
          <w:szCs w:val="22"/>
          <w:highlight w:val="none"/>
        </w:rPr>
        <w:t>带“▲”且加下划线的有关技术和商务条款实质性条款，询价采购响应方必须做出实质性响应。</w:t>
      </w:r>
    </w:p>
    <w:p>
      <w:pPr>
        <w:snapToGrid w:val="0"/>
        <w:spacing w:line="288" w:lineRule="auto"/>
        <w:rPr>
          <w:rFonts w:hint="eastAsia" w:ascii="宋体" w:hAnsi="宋体" w:cs="宋体"/>
          <w:color w:val="auto"/>
          <w:spacing w:val="-6"/>
          <w:sz w:val="21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2019-10-30T06:21:19Z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