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rPr>
          <w:rFonts w:hint="eastAsia" w:ascii="宋体" w:hAnsi="宋体" w:cs="宋体"/>
          <w:b/>
          <w:bCs/>
          <w:sz w:val="22"/>
          <w:szCs w:val="22"/>
          <w:highlight w:val="none"/>
        </w:rPr>
      </w:pPr>
      <w:r>
        <w:rPr>
          <w:rFonts w:hint="eastAsia" w:ascii="宋体" w:hAnsi="宋体" w:cs="宋体"/>
          <w:b/>
          <w:bCs/>
          <w:sz w:val="32"/>
          <w:highlight w:val="none"/>
        </w:rPr>
        <w:t>采购需求</w:t>
      </w:r>
    </w:p>
    <w:p>
      <w:pPr>
        <w:snapToGrid w:val="0"/>
        <w:spacing w:line="400" w:lineRule="exact"/>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一、采购内容及数量</w:t>
      </w:r>
    </w:p>
    <w:tbl>
      <w:tblPr>
        <w:tblStyle w:val="6"/>
        <w:tblW w:w="93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939"/>
        <w:gridCol w:w="1290"/>
        <w:gridCol w:w="3045"/>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70" w:type="dxa"/>
            <w:noWrap w:val="0"/>
            <w:vAlign w:val="center"/>
          </w:tcPr>
          <w:p>
            <w:pPr>
              <w:spacing w:line="288" w:lineRule="auto"/>
              <w:jc w:val="center"/>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序号</w:t>
            </w:r>
          </w:p>
        </w:tc>
        <w:tc>
          <w:tcPr>
            <w:tcW w:w="2939" w:type="dxa"/>
            <w:noWrap w:val="0"/>
            <w:vAlign w:val="center"/>
          </w:tcPr>
          <w:p>
            <w:pPr>
              <w:spacing w:line="288" w:lineRule="auto"/>
              <w:jc w:val="center"/>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项目名称</w:t>
            </w:r>
          </w:p>
        </w:tc>
        <w:tc>
          <w:tcPr>
            <w:tcW w:w="1290" w:type="dxa"/>
            <w:noWrap w:val="0"/>
            <w:vAlign w:val="center"/>
          </w:tcPr>
          <w:p>
            <w:pPr>
              <w:spacing w:line="288" w:lineRule="auto"/>
              <w:jc w:val="center"/>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数量</w:t>
            </w:r>
          </w:p>
        </w:tc>
        <w:tc>
          <w:tcPr>
            <w:tcW w:w="3045" w:type="dxa"/>
            <w:noWrap w:val="0"/>
            <w:vAlign w:val="center"/>
          </w:tcPr>
          <w:p>
            <w:pPr>
              <w:spacing w:line="288" w:lineRule="auto"/>
              <w:jc w:val="center"/>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投资总额（万元）</w:t>
            </w:r>
          </w:p>
        </w:tc>
        <w:tc>
          <w:tcPr>
            <w:tcW w:w="993" w:type="dxa"/>
            <w:noWrap w:val="0"/>
            <w:vAlign w:val="center"/>
          </w:tcPr>
          <w:p>
            <w:pPr>
              <w:spacing w:line="288" w:lineRule="auto"/>
              <w:jc w:val="center"/>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070" w:type="dxa"/>
            <w:noWrap w:val="0"/>
            <w:vAlign w:val="center"/>
          </w:tcPr>
          <w:p>
            <w:pPr>
              <w:spacing w:line="288" w:lineRule="auto"/>
              <w:jc w:val="center"/>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1</w:t>
            </w:r>
          </w:p>
        </w:tc>
        <w:tc>
          <w:tcPr>
            <w:tcW w:w="2939" w:type="dxa"/>
            <w:noWrap w:val="0"/>
            <w:vAlign w:val="center"/>
          </w:tcPr>
          <w:p>
            <w:pPr>
              <w:spacing w:line="288" w:lineRule="auto"/>
              <w:jc w:val="center"/>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校园无线网络建设投资与运维服务</w:t>
            </w:r>
          </w:p>
        </w:tc>
        <w:tc>
          <w:tcPr>
            <w:tcW w:w="1290" w:type="dxa"/>
            <w:noWrap w:val="0"/>
            <w:vAlign w:val="center"/>
          </w:tcPr>
          <w:p>
            <w:pPr>
              <w:spacing w:line="288" w:lineRule="auto"/>
              <w:jc w:val="center"/>
              <w:rPr>
                <w:rFonts w:ascii="宋体" w:hAnsi="宋体" w:cs="宋体"/>
                <w:b/>
                <w:bCs/>
                <w:spacing w:val="-6"/>
                <w:sz w:val="22"/>
                <w:szCs w:val="22"/>
                <w:highlight w:val="none"/>
              </w:rPr>
            </w:pPr>
            <w:r>
              <w:rPr>
                <w:rFonts w:hint="eastAsia" w:ascii="宋体" w:hAnsi="宋体" w:cs="宋体"/>
                <w:b/>
                <w:bCs/>
                <w:spacing w:val="-6"/>
                <w:sz w:val="22"/>
                <w:szCs w:val="22"/>
                <w:highlight w:val="none"/>
              </w:rPr>
              <w:t>1项</w:t>
            </w:r>
          </w:p>
        </w:tc>
        <w:tc>
          <w:tcPr>
            <w:tcW w:w="3045" w:type="dxa"/>
            <w:noWrap w:val="0"/>
            <w:vAlign w:val="center"/>
          </w:tcPr>
          <w:p>
            <w:pPr>
              <w:spacing w:line="288" w:lineRule="auto"/>
              <w:jc w:val="left"/>
              <w:rPr>
                <w:rFonts w:ascii="宋体" w:hAnsi="宋体" w:cs="宋体"/>
                <w:b/>
                <w:bCs/>
                <w:spacing w:val="-6"/>
                <w:sz w:val="22"/>
                <w:szCs w:val="22"/>
                <w:highlight w:val="none"/>
              </w:rPr>
            </w:pPr>
            <w:r>
              <w:rPr>
                <w:rFonts w:hint="eastAsia" w:ascii="宋体" w:hAnsi="宋体" w:cs="宋体"/>
                <w:snapToGrid w:val="0"/>
                <w:sz w:val="22"/>
                <w:szCs w:val="22"/>
                <w:highlight w:val="none"/>
                <w:u w:val="single"/>
              </w:rPr>
              <w:t>▲</w:t>
            </w:r>
            <w:r>
              <w:rPr>
                <w:rFonts w:hint="eastAsia" w:hAnsi="宋体" w:cs="宋体"/>
                <w:bCs/>
                <w:sz w:val="22"/>
                <w:szCs w:val="22"/>
                <w:highlight w:val="none"/>
                <w:u w:val="single"/>
              </w:rPr>
              <w:t>有效响应供应商的投资总额按市场评估额需在1000万元-1200万元整之间（含本数）超出该部分报价的响应供应商按无效标处理。</w:t>
            </w:r>
          </w:p>
        </w:tc>
        <w:tc>
          <w:tcPr>
            <w:tcW w:w="993" w:type="dxa"/>
            <w:noWrap w:val="0"/>
            <w:vAlign w:val="center"/>
          </w:tcPr>
          <w:p>
            <w:pPr>
              <w:spacing w:line="288" w:lineRule="auto"/>
              <w:jc w:val="center"/>
              <w:rPr>
                <w:rFonts w:hint="eastAsia" w:ascii="宋体" w:hAnsi="宋体" w:cs="宋体"/>
                <w:b/>
                <w:bCs/>
                <w:spacing w:val="-6"/>
                <w:sz w:val="22"/>
                <w:szCs w:val="22"/>
                <w:highlight w:val="none"/>
              </w:rPr>
            </w:pPr>
          </w:p>
        </w:tc>
      </w:tr>
    </w:tbl>
    <w:p>
      <w:pPr>
        <w:snapToGrid w:val="0"/>
        <w:spacing w:line="400" w:lineRule="exact"/>
        <w:outlineLvl w:val="0"/>
        <w:rPr>
          <w:rFonts w:hint="eastAsia" w:ascii="宋体" w:hAnsi="宋体" w:cs="宋体"/>
          <w:b/>
          <w:spacing w:val="-6"/>
          <w:sz w:val="22"/>
          <w:szCs w:val="22"/>
          <w:highlight w:val="none"/>
        </w:rPr>
      </w:pPr>
      <w:r>
        <w:rPr>
          <w:rFonts w:hint="eastAsia" w:ascii="宋体" w:hAnsi="宋体" w:cs="宋体"/>
          <w:b/>
          <w:bCs/>
          <w:spacing w:val="-6"/>
          <w:sz w:val="22"/>
          <w:szCs w:val="22"/>
          <w:highlight w:val="none"/>
        </w:rPr>
        <w:t>二、</w:t>
      </w:r>
      <w:r>
        <w:rPr>
          <w:rFonts w:hint="eastAsia" w:ascii="宋体" w:hAnsi="宋体" w:cs="宋体"/>
          <w:b/>
          <w:spacing w:val="-6"/>
          <w:sz w:val="22"/>
          <w:szCs w:val="22"/>
          <w:highlight w:val="none"/>
        </w:rPr>
        <w:t>商务要求（技术要求里另有注明的以技术要求为准）</w:t>
      </w:r>
    </w:p>
    <w:tbl>
      <w:tblPr>
        <w:tblStyle w:val="6"/>
        <w:tblW w:w="9271"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8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57"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center"/>
              <w:rPr>
                <w:rFonts w:ascii="宋体" w:hAnsi="宋体" w:cs="宋体"/>
                <w:sz w:val="22"/>
                <w:szCs w:val="22"/>
                <w:highlight w:val="none"/>
              </w:rPr>
            </w:pPr>
            <w:r>
              <w:rPr>
                <w:rFonts w:hint="eastAsia" w:ascii="宋体" w:hAnsi="宋体" w:cs="宋体"/>
                <w:sz w:val="22"/>
                <w:szCs w:val="22"/>
                <w:highlight w:val="none"/>
              </w:rPr>
              <w:t>合同期</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spacing w:line="288" w:lineRule="auto"/>
              <w:jc w:val="left"/>
              <w:rPr>
                <w:rFonts w:hint="eastAsia" w:ascii="宋体" w:hAnsi="宋体" w:cs="宋体"/>
                <w:sz w:val="22"/>
                <w:szCs w:val="22"/>
                <w:highlight w:val="none"/>
                <w:u w:val="single"/>
              </w:rPr>
            </w:pPr>
            <w:r>
              <w:rPr>
                <w:sz w:val="22"/>
                <w:szCs w:val="22"/>
                <w:highlight w:val="none"/>
              </w:rPr>
              <w:t>学校将与供应商签订6+N年期合作协议（首期合作6年，到期后通过校方服务考核后再续约合作1年，如续约期满通过校方考核后，继续按年续约</w:t>
            </w:r>
            <w:r>
              <w:rPr>
                <w:rFonts w:hint="eastAsia"/>
                <w:sz w:val="22"/>
                <w:szCs w:val="22"/>
                <w:highlight w:val="none"/>
              </w:rPr>
              <w:t>，</w:t>
            </w:r>
            <w:r>
              <w:rPr>
                <w:sz w:val="22"/>
                <w:szCs w:val="22"/>
                <w:highlight w:val="none"/>
              </w:rPr>
              <w:t>直至202</w:t>
            </w:r>
            <w:r>
              <w:rPr>
                <w:rFonts w:hint="eastAsia"/>
                <w:sz w:val="22"/>
                <w:szCs w:val="22"/>
                <w:highlight w:val="none"/>
              </w:rPr>
              <w:t>9</w:t>
            </w:r>
            <w:r>
              <w:rPr>
                <w:sz w:val="22"/>
                <w:szCs w:val="22"/>
                <w:highlight w:val="none"/>
              </w:rPr>
              <w:t>年8月3</w:t>
            </w:r>
            <w:r>
              <w:rPr>
                <w:rFonts w:hint="eastAsia"/>
                <w:sz w:val="22"/>
                <w:szCs w:val="22"/>
                <w:highlight w:val="none"/>
              </w:rPr>
              <w:t>1</w:t>
            </w:r>
            <w:r>
              <w:rPr>
                <w:sz w:val="22"/>
                <w:szCs w:val="22"/>
                <w:highlight w:val="none"/>
              </w:rPr>
              <w:t>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tabs>
                <w:tab w:val="left" w:pos="851"/>
              </w:tabs>
              <w:spacing w:line="360" w:lineRule="auto"/>
              <w:jc w:val="left"/>
              <w:rPr>
                <w:rFonts w:ascii="宋体" w:hAnsi="宋体" w:cs="宋体"/>
                <w:sz w:val="22"/>
                <w:szCs w:val="22"/>
                <w:highlight w:val="none"/>
              </w:rPr>
            </w:pPr>
            <w:r>
              <w:rPr>
                <w:rFonts w:hint="eastAsia" w:ascii="宋体" w:hAnsi="宋体" w:cs="宋体"/>
                <w:sz w:val="22"/>
                <w:szCs w:val="22"/>
                <w:highlight w:val="none"/>
              </w:rPr>
              <w:t>项目进度要求</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tabs>
                <w:tab w:val="left" w:pos="851"/>
              </w:tabs>
              <w:spacing w:line="360" w:lineRule="auto"/>
              <w:jc w:val="left"/>
              <w:rPr>
                <w:rFonts w:hint="eastAsia" w:ascii="宋体" w:hAnsi="宋体" w:cs="宋体"/>
                <w:sz w:val="22"/>
                <w:szCs w:val="22"/>
                <w:highlight w:val="none"/>
              </w:rPr>
            </w:pPr>
            <w:r>
              <w:rPr>
                <w:rFonts w:hint="eastAsia" w:ascii="宋体" w:hAnsi="宋体" w:cs="宋体"/>
                <w:sz w:val="22"/>
                <w:szCs w:val="22"/>
                <w:highlight w:val="none"/>
              </w:rPr>
              <w:t>成交供应商必须保证2019年8月20日以前完成本网络的主体部分和学生宿舍区所有网络的建设并投入运行，整个工程必须在2019年9月底以前完成。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91" w:type="dxa"/>
            <w:tcBorders>
              <w:top w:val="single" w:color="auto" w:sz="4" w:space="0"/>
              <w:left w:val="single" w:color="auto" w:sz="4" w:space="0"/>
              <w:bottom w:val="single" w:color="auto" w:sz="4" w:space="0"/>
              <w:right w:val="single" w:color="auto" w:sz="4" w:space="0"/>
            </w:tcBorders>
            <w:noWrap w:val="0"/>
            <w:vAlign w:val="center"/>
          </w:tcPr>
          <w:p>
            <w:pPr>
              <w:tabs>
                <w:tab w:val="left" w:pos="851"/>
              </w:tabs>
              <w:spacing w:line="360" w:lineRule="auto"/>
              <w:jc w:val="left"/>
              <w:rPr>
                <w:rFonts w:ascii="宋体" w:hAnsi="宋体" w:cs="宋体"/>
                <w:sz w:val="22"/>
                <w:szCs w:val="22"/>
                <w:highlight w:val="none"/>
              </w:rPr>
            </w:pPr>
            <w:r>
              <w:rPr>
                <w:rFonts w:hint="eastAsia" w:ascii="宋体" w:hAnsi="宋体" w:cs="宋体"/>
                <w:sz w:val="22"/>
                <w:szCs w:val="22"/>
                <w:highlight w:val="none"/>
              </w:rPr>
              <w:t>合同签订时间、履约保证金要求</w:t>
            </w:r>
          </w:p>
        </w:tc>
        <w:tc>
          <w:tcPr>
            <w:tcW w:w="8080" w:type="dxa"/>
            <w:tcBorders>
              <w:top w:val="single" w:color="auto" w:sz="4" w:space="0"/>
              <w:left w:val="single" w:color="auto" w:sz="4" w:space="0"/>
              <w:bottom w:val="single" w:color="auto" w:sz="4" w:space="0"/>
              <w:right w:val="single" w:color="auto" w:sz="4" w:space="0"/>
            </w:tcBorders>
            <w:noWrap w:val="0"/>
            <w:vAlign w:val="center"/>
          </w:tcPr>
          <w:p>
            <w:pPr>
              <w:tabs>
                <w:tab w:val="left" w:pos="851"/>
              </w:tabs>
              <w:spacing w:line="360" w:lineRule="auto"/>
              <w:jc w:val="left"/>
              <w:rPr>
                <w:rFonts w:ascii="宋体" w:hAnsi="宋体" w:cs="宋体"/>
                <w:sz w:val="22"/>
                <w:szCs w:val="22"/>
                <w:highlight w:val="none"/>
              </w:rPr>
            </w:pPr>
            <w:r>
              <w:rPr>
                <w:rFonts w:ascii="宋体" w:hAnsi="宋体" w:cs="宋体"/>
                <w:kern w:val="0"/>
                <w:sz w:val="22"/>
                <w:szCs w:val="22"/>
                <w:highlight w:val="none"/>
                <w:u w:val="single"/>
              </w:rPr>
              <w:t>▲</w:t>
            </w:r>
            <w:r>
              <w:rPr>
                <w:rFonts w:hint="eastAsia" w:ascii="宋体" w:hAnsi="宋体" w:cs="宋体"/>
                <w:sz w:val="22"/>
                <w:szCs w:val="22"/>
                <w:highlight w:val="none"/>
                <w:u w:val="single"/>
              </w:rPr>
              <w:t>成交供应商需在接到成交通知书发出后14个工作日内与业主方签订合同，并在合同签订后7个工作日内，打入业主方指定账户10万元履约保证金，履约保证金待项目整体验收合格后无息退还。（未能在规定时间内与采购人签订合同的；或者未在指定时间内完成履约保证金交付的，采购人审查后，采购人可以视情况确定排名第二的成交候选人为成交供应商或重新组织招标。）</w:t>
            </w:r>
          </w:p>
        </w:tc>
      </w:tr>
    </w:tbl>
    <w:p>
      <w:pPr>
        <w:numPr>
          <w:ilvl w:val="0"/>
          <w:numId w:val="1"/>
        </w:numPr>
        <w:snapToGrid w:val="0"/>
        <w:spacing w:line="400" w:lineRule="exact"/>
        <w:rPr>
          <w:rFonts w:hint="eastAsia" w:ascii="宋体" w:hAnsi="宋体" w:cs="宋体"/>
          <w:b/>
          <w:bCs/>
          <w:spacing w:val="-6"/>
          <w:sz w:val="22"/>
          <w:szCs w:val="22"/>
          <w:highlight w:val="none"/>
        </w:rPr>
      </w:pPr>
      <w:r>
        <w:rPr>
          <w:rFonts w:hint="eastAsia" w:ascii="宋体" w:hAnsi="宋体" w:cs="宋体"/>
          <w:b/>
          <w:bCs/>
          <w:spacing w:val="-6"/>
          <w:sz w:val="22"/>
          <w:szCs w:val="22"/>
          <w:highlight w:val="none"/>
        </w:rPr>
        <w:t>技术要求</w:t>
      </w:r>
    </w:p>
    <w:tbl>
      <w:tblPr>
        <w:tblStyle w:val="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54" w:type="dxa"/>
            <w:noWrap w:val="0"/>
            <w:vAlign w:val="top"/>
          </w:tcPr>
          <w:p>
            <w:pPr>
              <w:jc w:val="center"/>
              <w:rPr>
                <w:rFonts w:ascii="黑体" w:hAnsi="黑体" w:eastAsia="黑体"/>
                <w:sz w:val="22"/>
                <w:szCs w:val="22"/>
                <w:highlight w:val="none"/>
              </w:rPr>
            </w:pPr>
            <w:r>
              <w:rPr>
                <w:rFonts w:ascii="黑体" w:hAnsi="黑体" w:eastAsia="黑体"/>
                <w:sz w:val="22"/>
                <w:szCs w:val="22"/>
                <w:highlight w:val="none"/>
              </w:rPr>
              <w:t>校园无线网络建设投资与运维服务项目</w:t>
            </w:r>
            <w:r>
              <w:rPr>
                <w:rFonts w:hint="eastAsia" w:ascii="黑体" w:hAnsi="黑体" w:eastAsia="黑体"/>
                <w:sz w:val="22"/>
                <w:szCs w:val="22"/>
                <w:highlight w:val="none"/>
              </w:rPr>
              <w:t>需求</w:t>
            </w:r>
          </w:p>
          <w:p>
            <w:pPr>
              <w:pStyle w:val="3"/>
              <w:rPr>
                <w:sz w:val="22"/>
                <w:szCs w:val="22"/>
                <w:highlight w:val="none"/>
              </w:rPr>
            </w:pPr>
            <w:r>
              <w:rPr>
                <w:sz w:val="22"/>
                <w:szCs w:val="22"/>
                <w:highlight w:val="none"/>
              </w:rPr>
              <w:t>一、项目背景</w:t>
            </w:r>
          </w:p>
          <w:p>
            <w:pPr>
              <w:spacing w:line="360" w:lineRule="exact"/>
              <w:ind w:firstLine="440" w:firstLineChars="200"/>
              <w:rPr>
                <w:sz w:val="22"/>
                <w:szCs w:val="22"/>
                <w:highlight w:val="none"/>
              </w:rPr>
            </w:pPr>
            <w:r>
              <w:rPr>
                <w:sz w:val="22"/>
                <w:szCs w:val="22"/>
                <w:highlight w:val="none"/>
              </w:rPr>
              <w:t>为建立温州职业技术学院信息化发展协同创新长效机制，适应</w:t>
            </w:r>
            <w:r>
              <w:rPr>
                <w:rFonts w:hint="eastAsia"/>
                <w:sz w:val="22"/>
                <w:szCs w:val="22"/>
                <w:highlight w:val="none"/>
              </w:rPr>
              <w:t>教育信息化2.0行动计划</w:t>
            </w:r>
            <w:r>
              <w:rPr>
                <w:sz w:val="22"/>
                <w:szCs w:val="22"/>
                <w:highlight w:val="none"/>
              </w:rPr>
              <w:t>新形势，充分发挥社会各方的作用和市场配置资源的优势，推进教育信息化事业共同发展</w:t>
            </w:r>
            <w:r>
              <w:rPr>
                <w:rFonts w:hint="eastAsia"/>
                <w:sz w:val="22"/>
                <w:szCs w:val="22"/>
                <w:highlight w:val="none"/>
              </w:rPr>
              <w:t>，</w:t>
            </w:r>
            <w:r>
              <w:rPr>
                <w:sz w:val="22"/>
                <w:szCs w:val="22"/>
                <w:highlight w:val="none"/>
              </w:rPr>
              <w:t>温州职业技术学院拟在校园信息基础设施建设中，引入社会力量，在平等、自愿、公平、诚实、信用的基础上，基于</w:t>
            </w:r>
            <w:r>
              <w:rPr>
                <w:rFonts w:hint="eastAsia"/>
                <w:sz w:val="22"/>
                <w:szCs w:val="22"/>
                <w:highlight w:val="none"/>
              </w:rPr>
              <w:t>“</w:t>
            </w:r>
            <w:r>
              <w:rPr>
                <w:sz w:val="22"/>
                <w:szCs w:val="22"/>
                <w:highlight w:val="none"/>
              </w:rPr>
              <w:t>资源共享、平等互利、精诚合作</w:t>
            </w:r>
            <w:r>
              <w:rPr>
                <w:rFonts w:hint="eastAsia"/>
                <w:sz w:val="22"/>
                <w:szCs w:val="22"/>
                <w:highlight w:val="none"/>
              </w:rPr>
              <w:t>”</w:t>
            </w:r>
            <w:r>
              <w:rPr>
                <w:sz w:val="22"/>
                <w:szCs w:val="22"/>
                <w:highlight w:val="none"/>
              </w:rPr>
              <w:t>的原则，采用竞争性磋商方式择优选择校园无线网络建设与运维服务供应商，签订项目合同建立合作关系。根据《政府采购竞争性磋商采购方式管理暂行办法》和《财政部关于政府采购竞争性磋商采购方式管理暂行办法有关问题的补充通知》规定，欢迎温州地区优秀的供应商前来参加磋商。</w:t>
            </w:r>
          </w:p>
          <w:p>
            <w:pPr>
              <w:pStyle w:val="3"/>
              <w:rPr>
                <w:sz w:val="22"/>
                <w:szCs w:val="22"/>
                <w:highlight w:val="none"/>
              </w:rPr>
            </w:pPr>
            <w:r>
              <w:rPr>
                <w:sz w:val="22"/>
                <w:szCs w:val="22"/>
                <w:highlight w:val="none"/>
              </w:rPr>
              <w:t>二、项目标的</w:t>
            </w:r>
          </w:p>
          <w:p>
            <w:pPr>
              <w:spacing w:line="360" w:lineRule="exact"/>
              <w:ind w:firstLine="440" w:firstLineChars="200"/>
              <w:rPr>
                <w:sz w:val="22"/>
                <w:szCs w:val="22"/>
                <w:highlight w:val="none"/>
              </w:rPr>
            </w:pPr>
            <w:r>
              <w:rPr>
                <w:sz w:val="22"/>
                <w:szCs w:val="22"/>
                <w:highlight w:val="none"/>
              </w:rPr>
              <w:t>面向温州地区征集战略合作伙伴，采用竞标的方式</w:t>
            </w:r>
            <w:r>
              <w:rPr>
                <w:rFonts w:hint="eastAsia"/>
                <w:sz w:val="22"/>
                <w:szCs w:val="22"/>
                <w:highlight w:val="none"/>
              </w:rPr>
              <w:t>，由成交</w:t>
            </w:r>
            <w:r>
              <w:rPr>
                <w:sz w:val="22"/>
                <w:szCs w:val="22"/>
                <w:highlight w:val="none"/>
              </w:rPr>
              <w:t>供应商投入资金建设和运维温州</w:t>
            </w:r>
            <w:r>
              <w:rPr>
                <w:rFonts w:hint="eastAsia"/>
                <w:sz w:val="22"/>
                <w:szCs w:val="22"/>
                <w:highlight w:val="none"/>
              </w:rPr>
              <w:t>职业技术学院</w:t>
            </w:r>
            <w:r>
              <w:rPr>
                <w:sz w:val="22"/>
                <w:szCs w:val="22"/>
                <w:highlight w:val="none"/>
              </w:rPr>
              <w:t>无线校园网。</w:t>
            </w:r>
          </w:p>
          <w:p>
            <w:pPr>
              <w:pStyle w:val="3"/>
              <w:rPr>
                <w:sz w:val="22"/>
                <w:szCs w:val="22"/>
                <w:highlight w:val="none"/>
              </w:rPr>
            </w:pPr>
            <w:r>
              <w:rPr>
                <w:sz w:val="22"/>
                <w:szCs w:val="22"/>
                <w:highlight w:val="none"/>
              </w:rPr>
              <w:t>三、服务期限</w:t>
            </w:r>
          </w:p>
          <w:p>
            <w:pPr>
              <w:spacing w:line="360" w:lineRule="exact"/>
              <w:ind w:firstLine="440" w:firstLineChars="200"/>
              <w:rPr>
                <w:sz w:val="22"/>
                <w:szCs w:val="22"/>
                <w:highlight w:val="none"/>
              </w:rPr>
            </w:pPr>
            <w:r>
              <w:rPr>
                <w:sz w:val="22"/>
                <w:szCs w:val="22"/>
                <w:highlight w:val="none"/>
              </w:rPr>
              <w:t>学校将与供应商签订6+N年期合作协议（首期合作6年，到期后通过校方服务考核后再续约合作1年，如续约期满通过校方考核后，继续按年续约</w:t>
            </w:r>
            <w:r>
              <w:rPr>
                <w:rFonts w:hint="eastAsia"/>
                <w:sz w:val="22"/>
                <w:szCs w:val="22"/>
                <w:highlight w:val="none"/>
              </w:rPr>
              <w:t>，</w:t>
            </w:r>
            <w:r>
              <w:rPr>
                <w:sz w:val="22"/>
                <w:szCs w:val="22"/>
                <w:highlight w:val="none"/>
              </w:rPr>
              <w:t>直至202</w:t>
            </w:r>
            <w:r>
              <w:rPr>
                <w:rFonts w:hint="eastAsia"/>
                <w:sz w:val="22"/>
                <w:szCs w:val="22"/>
                <w:highlight w:val="none"/>
              </w:rPr>
              <w:t>9</w:t>
            </w:r>
            <w:r>
              <w:rPr>
                <w:sz w:val="22"/>
                <w:szCs w:val="22"/>
                <w:highlight w:val="none"/>
              </w:rPr>
              <w:t>年8月3</w:t>
            </w:r>
            <w:r>
              <w:rPr>
                <w:rFonts w:hint="eastAsia"/>
                <w:sz w:val="22"/>
                <w:szCs w:val="22"/>
                <w:highlight w:val="none"/>
              </w:rPr>
              <w:t>1</w:t>
            </w:r>
            <w:r>
              <w:rPr>
                <w:sz w:val="22"/>
                <w:szCs w:val="22"/>
                <w:highlight w:val="none"/>
              </w:rPr>
              <w:t>日止）。学校向供应商开放校园无线网络建设与运营市场，供应商为学校提供校园无线网络基础建设、运维及其它服务。服务期限自校园无线网络建设完工并经过双方验收之日起开始计算。合作协议终止后相关事宜由双方另行商议。</w:t>
            </w:r>
          </w:p>
          <w:p>
            <w:pPr>
              <w:pStyle w:val="3"/>
              <w:rPr>
                <w:sz w:val="22"/>
                <w:szCs w:val="22"/>
                <w:highlight w:val="none"/>
              </w:rPr>
            </w:pPr>
            <w:r>
              <w:rPr>
                <w:sz w:val="22"/>
                <w:szCs w:val="22"/>
                <w:highlight w:val="none"/>
              </w:rPr>
              <w:t>四、项目内容</w:t>
            </w:r>
          </w:p>
          <w:p>
            <w:pPr>
              <w:pStyle w:val="4"/>
              <w:rPr>
                <w:sz w:val="22"/>
                <w:szCs w:val="22"/>
                <w:highlight w:val="none"/>
              </w:rPr>
            </w:pPr>
            <w:r>
              <w:rPr>
                <w:sz w:val="22"/>
                <w:szCs w:val="22"/>
                <w:highlight w:val="none"/>
              </w:rPr>
              <w:t>（一）招标内容</w:t>
            </w:r>
          </w:p>
          <w:p>
            <w:pPr>
              <w:spacing w:line="360" w:lineRule="exact"/>
              <w:ind w:firstLine="442" w:firstLineChars="200"/>
              <w:rPr>
                <w:sz w:val="22"/>
                <w:szCs w:val="22"/>
                <w:highlight w:val="none"/>
              </w:rPr>
            </w:pPr>
            <w:r>
              <w:rPr>
                <w:b/>
                <w:sz w:val="22"/>
                <w:szCs w:val="22"/>
                <w:highlight w:val="none"/>
              </w:rPr>
              <w:t>1．无线网络建设：</w:t>
            </w:r>
            <w:r>
              <w:rPr>
                <w:sz w:val="22"/>
                <w:szCs w:val="22"/>
                <w:highlight w:val="none"/>
              </w:rPr>
              <w:t>建设覆盖全校的无线网络</w:t>
            </w:r>
            <w:r>
              <w:rPr>
                <w:rFonts w:hint="eastAsia"/>
                <w:sz w:val="22"/>
                <w:szCs w:val="22"/>
                <w:highlight w:val="none"/>
              </w:rPr>
              <w:t>。</w:t>
            </w:r>
            <w:r>
              <w:rPr>
                <w:sz w:val="22"/>
                <w:szCs w:val="22"/>
                <w:highlight w:val="none"/>
              </w:rPr>
              <w:t>覆盖范围包括温州</w:t>
            </w:r>
            <w:r>
              <w:rPr>
                <w:rFonts w:hint="eastAsia"/>
                <w:sz w:val="22"/>
                <w:szCs w:val="22"/>
                <w:highlight w:val="none"/>
              </w:rPr>
              <w:t>职业技术学院茶山</w:t>
            </w:r>
            <w:r>
              <w:rPr>
                <w:sz w:val="22"/>
                <w:szCs w:val="22"/>
                <w:highlight w:val="none"/>
              </w:rPr>
              <w:t>校区</w:t>
            </w:r>
            <w:r>
              <w:rPr>
                <w:rFonts w:hint="eastAsia"/>
                <w:sz w:val="22"/>
                <w:szCs w:val="22"/>
                <w:highlight w:val="none"/>
              </w:rPr>
              <w:t>、瑞安校区、继续教育学院校区</w:t>
            </w:r>
            <w:r>
              <w:rPr>
                <w:sz w:val="22"/>
                <w:szCs w:val="22"/>
                <w:highlight w:val="none"/>
              </w:rPr>
              <w:t>的所有办公楼、教学楼、图书馆、学生宿舍楼、食堂等楼宇和室外公共场所，以及</w:t>
            </w:r>
            <w:r>
              <w:rPr>
                <w:rFonts w:hint="eastAsia"/>
                <w:sz w:val="22"/>
                <w:szCs w:val="22"/>
                <w:highlight w:val="none"/>
              </w:rPr>
              <w:t>茶山校区</w:t>
            </w:r>
            <w:r>
              <w:rPr>
                <w:sz w:val="22"/>
                <w:szCs w:val="22"/>
                <w:highlight w:val="none"/>
              </w:rPr>
              <w:t>新建的</w:t>
            </w:r>
            <w:r>
              <w:rPr>
                <w:rFonts w:hint="eastAsia"/>
                <w:sz w:val="22"/>
                <w:szCs w:val="22"/>
                <w:highlight w:val="none"/>
              </w:rPr>
              <w:t>智能制造中心大楼</w:t>
            </w:r>
            <w:r>
              <w:rPr>
                <w:sz w:val="22"/>
                <w:szCs w:val="22"/>
                <w:highlight w:val="none"/>
              </w:rPr>
              <w:t>。</w:t>
            </w:r>
          </w:p>
          <w:p>
            <w:pPr>
              <w:spacing w:line="360" w:lineRule="exact"/>
              <w:ind w:firstLine="442" w:firstLineChars="200"/>
              <w:rPr>
                <w:sz w:val="22"/>
                <w:szCs w:val="22"/>
                <w:highlight w:val="none"/>
              </w:rPr>
            </w:pPr>
            <w:r>
              <w:rPr>
                <w:b/>
                <w:sz w:val="22"/>
                <w:szCs w:val="22"/>
                <w:highlight w:val="none"/>
              </w:rPr>
              <w:t>2．网络准入和安全控制</w:t>
            </w:r>
            <w:r>
              <w:rPr>
                <w:sz w:val="22"/>
                <w:szCs w:val="22"/>
                <w:highlight w:val="none"/>
              </w:rPr>
              <w:t>：提供无线网络的准入认证计费机制，实现基于用户身份的带宽控制、计费管理、</w:t>
            </w:r>
            <w:r>
              <w:rPr>
                <w:rFonts w:hint="eastAsia"/>
                <w:sz w:val="22"/>
                <w:szCs w:val="22"/>
                <w:highlight w:val="none"/>
              </w:rPr>
              <w:t>无感知漫游、访客管理、</w:t>
            </w:r>
            <w:r>
              <w:rPr>
                <w:sz w:val="22"/>
                <w:szCs w:val="22"/>
                <w:highlight w:val="none"/>
              </w:rPr>
              <w:t>出口路由和日志审计功能。并在此基础上建设统一的无线网络运营管理体系，使得学校能够与运营商基于此平台进行认证运营合作。</w:t>
            </w:r>
          </w:p>
          <w:p>
            <w:pPr>
              <w:spacing w:line="360" w:lineRule="exact"/>
              <w:ind w:firstLine="442" w:firstLineChars="200"/>
              <w:rPr>
                <w:sz w:val="22"/>
                <w:szCs w:val="22"/>
                <w:highlight w:val="none"/>
              </w:rPr>
            </w:pPr>
            <w:r>
              <w:rPr>
                <w:b/>
                <w:sz w:val="22"/>
                <w:szCs w:val="22"/>
                <w:highlight w:val="none"/>
              </w:rPr>
              <w:t>3．IT运维管理：</w:t>
            </w:r>
            <w:r>
              <w:rPr>
                <w:sz w:val="22"/>
                <w:szCs w:val="22"/>
                <w:highlight w:val="none"/>
              </w:rPr>
              <w:t>针对无线网络的日常维护和管理需求，</w:t>
            </w:r>
            <w:r>
              <w:rPr>
                <w:rFonts w:hint="eastAsia"/>
                <w:sz w:val="22"/>
                <w:szCs w:val="22"/>
                <w:highlight w:val="none"/>
              </w:rPr>
              <w:t>搭建相关软硬件系统</w:t>
            </w:r>
            <w:r>
              <w:rPr>
                <w:sz w:val="22"/>
                <w:szCs w:val="22"/>
                <w:highlight w:val="none"/>
              </w:rPr>
              <w:t>实现对无线网络设备、业务系统的统一监控和运维管理。</w:t>
            </w:r>
          </w:p>
          <w:p>
            <w:pPr>
              <w:spacing w:line="360" w:lineRule="exact"/>
              <w:ind w:firstLine="442" w:firstLineChars="200"/>
              <w:rPr>
                <w:sz w:val="22"/>
                <w:szCs w:val="22"/>
                <w:highlight w:val="none"/>
              </w:rPr>
            </w:pPr>
            <w:r>
              <w:rPr>
                <w:b/>
                <w:sz w:val="22"/>
                <w:szCs w:val="22"/>
                <w:highlight w:val="none"/>
              </w:rPr>
              <w:t>4．综合展示窗口：</w:t>
            </w:r>
            <w:r>
              <w:rPr>
                <w:sz w:val="22"/>
                <w:szCs w:val="22"/>
                <w:highlight w:val="none"/>
              </w:rPr>
              <w:t>建成本项目所包含的网络情况展示、IT运维管理和上网数据分析等可视化的综合展示窗口。</w:t>
            </w:r>
          </w:p>
          <w:p>
            <w:pPr>
              <w:spacing w:line="360" w:lineRule="exact"/>
              <w:ind w:firstLine="442" w:firstLineChars="200"/>
              <w:rPr>
                <w:sz w:val="22"/>
                <w:szCs w:val="22"/>
                <w:highlight w:val="none"/>
              </w:rPr>
            </w:pPr>
            <w:r>
              <w:rPr>
                <w:b/>
                <w:sz w:val="22"/>
                <w:szCs w:val="22"/>
                <w:highlight w:val="none"/>
              </w:rPr>
              <w:t>5．服务体系建设：</w:t>
            </w:r>
            <w:r>
              <w:rPr>
                <w:sz w:val="22"/>
                <w:szCs w:val="22"/>
                <w:highlight w:val="none"/>
              </w:rPr>
              <w:t>构建完善的服务体系统包括远程服务平台、自助服务平台、现场服务制度和故障响应机制等。</w:t>
            </w:r>
          </w:p>
          <w:p>
            <w:pPr>
              <w:pStyle w:val="4"/>
              <w:rPr>
                <w:sz w:val="22"/>
                <w:szCs w:val="22"/>
                <w:highlight w:val="none"/>
              </w:rPr>
            </w:pPr>
            <w:r>
              <w:rPr>
                <w:sz w:val="22"/>
                <w:szCs w:val="22"/>
                <w:highlight w:val="none"/>
              </w:rPr>
              <w:t>（二）招标要求</w:t>
            </w:r>
          </w:p>
          <w:p>
            <w:pPr>
              <w:pStyle w:val="5"/>
              <w:rPr>
                <w:sz w:val="22"/>
                <w:szCs w:val="22"/>
                <w:highlight w:val="none"/>
              </w:rPr>
            </w:pPr>
            <w:r>
              <w:rPr>
                <w:sz w:val="22"/>
                <w:szCs w:val="22"/>
                <w:highlight w:val="none"/>
              </w:rPr>
              <w:t>1．总体要求</w:t>
            </w:r>
          </w:p>
          <w:p>
            <w:pPr>
              <w:spacing w:line="360" w:lineRule="exact"/>
              <w:ind w:firstLine="440" w:firstLineChars="200"/>
              <w:rPr>
                <w:sz w:val="22"/>
                <w:szCs w:val="22"/>
                <w:highlight w:val="none"/>
              </w:rPr>
            </w:pPr>
            <w:r>
              <w:rPr>
                <w:sz w:val="22"/>
                <w:szCs w:val="22"/>
                <w:highlight w:val="none"/>
              </w:rPr>
              <w:t>温州职业技术学院无线网络建设投资和运维服务项目是学校引入运营IT服务外包的项目，不同于一般设备和系统采购方式。</w:t>
            </w:r>
            <w:r>
              <w:rPr>
                <w:rFonts w:hint="eastAsia"/>
                <w:sz w:val="22"/>
                <w:szCs w:val="22"/>
                <w:highlight w:val="none"/>
              </w:rPr>
              <w:t>成交</w:t>
            </w:r>
            <w:r>
              <w:rPr>
                <w:sz w:val="22"/>
                <w:szCs w:val="22"/>
                <w:highlight w:val="none"/>
              </w:rPr>
              <w:t>供应商</w:t>
            </w:r>
            <w:r>
              <w:rPr>
                <w:rFonts w:hint="eastAsia"/>
                <w:sz w:val="22"/>
                <w:szCs w:val="22"/>
                <w:highlight w:val="none"/>
              </w:rPr>
              <w:t>的</w:t>
            </w:r>
            <w:r>
              <w:rPr>
                <w:sz w:val="22"/>
                <w:szCs w:val="22"/>
                <w:highlight w:val="none"/>
              </w:rPr>
              <w:t>投资总额按市场评估额不得少于</w:t>
            </w:r>
            <w:r>
              <w:rPr>
                <w:rFonts w:hint="eastAsia"/>
                <w:sz w:val="22"/>
                <w:szCs w:val="22"/>
                <w:highlight w:val="none"/>
              </w:rPr>
              <w:t>10</w:t>
            </w:r>
            <w:r>
              <w:rPr>
                <w:sz w:val="22"/>
                <w:szCs w:val="22"/>
                <w:highlight w:val="none"/>
              </w:rPr>
              <w:t>00万元整，AP数不得少于</w:t>
            </w:r>
            <w:r>
              <w:rPr>
                <w:rFonts w:hint="eastAsia"/>
                <w:sz w:val="22"/>
                <w:szCs w:val="22"/>
                <w:highlight w:val="none"/>
              </w:rPr>
              <w:t>50</w:t>
            </w:r>
            <w:r>
              <w:rPr>
                <w:sz w:val="22"/>
                <w:szCs w:val="22"/>
                <w:highlight w:val="none"/>
              </w:rPr>
              <w:t>00个。</w:t>
            </w:r>
          </w:p>
          <w:p>
            <w:pPr>
              <w:spacing w:line="360" w:lineRule="exact"/>
              <w:ind w:firstLine="440" w:firstLineChars="200"/>
              <w:rPr>
                <w:sz w:val="22"/>
                <w:szCs w:val="22"/>
                <w:highlight w:val="none"/>
              </w:rPr>
            </w:pPr>
            <w:r>
              <w:rPr>
                <w:sz w:val="22"/>
                <w:szCs w:val="22"/>
                <w:highlight w:val="none"/>
              </w:rPr>
              <w:t>1</w:t>
            </w:r>
            <w:r>
              <w:rPr>
                <w:rFonts w:hint="eastAsia"/>
                <w:sz w:val="22"/>
                <w:szCs w:val="22"/>
                <w:highlight w:val="none"/>
              </w:rPr>
              <w:t>）</w:t>
            </w:r>
            <w:r>
              <w:rPr>
                <w:sz w:val="22"/>
                <w:szCs w:val="22"/>
                <w:highlight w:val="none"/>
              </w:rPr>
              <w:t>供应商在整个项目方案中，应围绕项目建设目标和内容，充分考虑系统配置和功能需求，具体深化设计完善项目的技术方案、施工方案和运维方案。</w:t>
            </w:r>
          </w:p>
          <w:p>
            <w:pPr>
              <w:spacing w:line="360" w:lineRule="exact"/>
              <w:ind w:firstLine="440" w:firstLineChars="200"/>
              <w:rPr>
                <w:sz w:val="22"/>
                <w:szCs w:val="22"/>
                <w:highlight w:val="none"/>
              </w:rPr>
            </w:pPr>
            <w:r>
              <w:rPr>
                <w:sz w:val="22"/>
                <w:szCs w:val="22"/>
                <w:highlight w:val="none"/>
              </w:rPr>
              <w:t>2</w:t>
            </w:r>
            <w:r>
              <w:rPr>
                <w:rFonts w:hint="eastAsia"/>
                <w:sz w:val="22"/>
                <w:szCs w:val="22"/>
                <w:highlight w:val="none"/>
              </w:rPr>
              <w:t>）</w:t>
            </w:r>
            <w:r>
              <w:rPr>
                <w:sz w:val="22"/>
                <w:szCs w:val="22"/>
                <w:highlight w:val="none"/>
              </w:rPr>
              <w:t>考虑到项目实施后，校园无线网络与有线网络整网融合的可管理性、兼容性、安全性和易扩展性，减少网络调整过程中可能对师生造成的负面影响，提升师生的上网服务体验等需求，成交供应商在整个项目设计时，应确保项目所涉及的软硬件设备与现有软硬件设备之间的兼容性。</w:t>
            </w:r>
          </w:p>
          <w:p>
            <w:pPr>
              <w:spacing w:line="360" w:lineRule="exact"/>
              <w:ind w:firstLine="440" w:firstLineChars="200"/>
              <w:rPr>
                <w:sz w:val="22"/>
                <w:szCs w:val="22"/>
                <w:highlight w:val="none"/>
              </w:rPr>
            </w:pPr>
            <w:r>
              <w:rPr>
                <w:sz w:val="22"/>
                <w:szCs w:val="22"/>
                <w:highlight w:val="none"/>
              </w:rPr>
              <w:t>3</w:t>
            </w:r>
            <w:r>
              <w:rPr>
                <w:rFonts w:hint="eastAsia"/>
                <w:sz w:val="22"/>
                <w:szCs w:val="22"/>
                <w:highlight w:val="none"/>
              </w:rPr>
              <w:t>）</w:t>
            </w:r>
            <w:r>
              <w:rPr>
                <w:sz w:val="22"/>
                <w:szCs w:val="22"/>
                <w:highlight w:val="none"/>
              </w:rPr>
              <w:t>在服务期限内，供应商根据运维服务需要持续动态地投入资金进行校园无线网络设备及线路的更新与建设。</w:t>
            </w:r>
            <w:r>
              <w:rPr>
                <w:rFonts w:ascii="Arial" w:hAnsi="Arial" w:cs="Arial"/>
                <w:sz w:val="22"/>
                <w:szCs w:val="22"/>
                <w:highlight w:val="none"/>
              </w:rPr>
              <w:t>▲</w:t>
            </w:r>
            <w:r>
              <w:rPr>
                <w:sz w:val="22"/>
                <w:szCs w:val="22"/>
                <w:highlight w:val="none"/>
                <w:u w:val="single"/>
              </w:rPr>
              <w:t>学校拥有校园无线网络的管理权，供应商应向学校提供网络的整体运行细节和技术资料。当校园网有特殊的安全管控需要时，供应商应及时配合。</w:t>
            </w:r>
          </w:p>
          <w:p>
            <w:pPr>
              <w:spacing w:line="360" w:lineRule="exact"/>
              <w:ind w:firstLine="440" w:firstLineChars="200"/>
              <w:rPr>
                <w:sz w:val="22"/>
                <w:szCs w:val="22"/>
                <w:highlight w:val="none"/>
                <w:u w:val="single"/>
              </w:rPr>
            </w:pPr>
            <w:r>
              <w:rPr>
                <w:sz w:val="22"/>
                <w:szCs w:val="22"/>
                <w:highlight w:val="none"/>
              </w:rPr>
              <w:t>4</w:t>
            </w:r>
            <w:r>
              <w:rPr>
                <w:rFonts w:hint="eastAsia"/>
                <w:sz w:val="22"/>
                <w:szCs w:val="22"/>
                <w:highlight w:val="none"/>
              </w:rPr>
              <w:t>）</w:t>
            </w:r>
            <w:r>
              <w:rPr>
                <w:sz w:val="22"/>
                <w:szCs w:val="22"/>
                <w:highlight w:val="none"/>
              </w:rPr>
              <w:t>在服务期限内，学校无线网络由供应商负责运营，并负责校园无线网络的现场运维服务（▲</w:t>
            </w:r>
            <w:r>
              <w:rPr>
                <w:sz w:val="22"/>
                <w:szCs w:val="22"/>
                <w:highlight w:val="none"/>
                <w:u w:val="single"/>
              </w:rPr>
              <w:t>要求设备原厂家提供至少2年的原厂工程师驻场服务</w:t>
            </w:r>
            <w:r>
              <w:rPr>
                <w:sz w:val="22"/>
                <w:szCs w:val="22"/>
                <w:highlight w:val="none"/>
              </w:rPr>
              <w:t>），确保校园无线网络稳定可靠运行，具体包括：提供客户服务、信息服务、网络设备维护、技术改造和网络优化。所有投入硬件设备和综合布线系统均需提供服务年限内的质保服务。▲</w:t>
            </w:r>
            <w:r>
              <w:rPr>
                <w:sz w:val="22"/>
                <w:szCs w:val="22"/>
                <w:highlight w:val="none"/>
                <w:u w:val="single"/>
              </w:rPr>
              <w:t>同时还须承诺遵守国家有关文件规定和法律法规，将所承建的校园无线网络设施向各家运营商公平开放。</w:t>
            </w:r>
          </w:p>
          <w:p>
            <w:pPr>
              <w:pStyle w:val="5"/>
              <w:rPr>
                <w:sz w:val="22"/>
                <w:szCs w:val="22"/>
                <w:highlight w:val="none"/>
              </w:rPr>
            </w:pPr>
            <w:r>
              <w:rPr>
                <w:sz w:val="22"/>
                <w:szCs w:val="22"/>
                <w:highlight w:val="none"/>
              </w:rPr>
              <w:t>2．技术要求</w:t>
            </w:r>
          </w:p>
          <w:p>
            <w:pPr>
              <w:spacing w:before="120" w:beforeLines="50" w:after="120" w:afterLines="50"/>
              <w:ind w:firstLine="442" w:firstLineChars="200"/>
              <w:rPr>
                <w:b/>
                <w:sz w:val="22"/>
                <w:szCs w:val="22"/>
                <w:highlight w:val="none"/>
              </w:rPr>
            </w:pPr>
            <w:r>
              <w:rPr>
                <w:b/>
                <w:sz w:val="22"/>
                <w:szCs w:val="22"/>
                <w:highlight w:val="none"/>
              </w:rPr>
              <w:t>1</w:t>
            </w:r>
            <w:r>
              <w:rPr>
                <w:rFonts w:hint="eastAsia"/>
                <w:b/>
                <w:sz w:val="22"/>
                <w:szCs w:val="22"/>
                <w:highlight w:val="none"/>
              </w:rPr>
              <w:t>）</w:t>
            </w:r>
            <w:r>
              <w:rPr>
                <w:b/>
                <w:sz w:val="22"/>
                <w:szCs w:val="22"/>
                <w:highlight w:val="none"/>
              </w:rPr>
              <w:t>网络拓扑图</w:t>
            </w:r>
          </w:p>
          <w:p>
            <w:pPr>
              <w:rPr>
                <w:sz w:val="22"/>
                <w:szCs w:val="22"/>
                <w:highlight w:val="none"/>
              </w:rPr>
            </w:pPr>
            <w:r>
              <w:rPr>
                <w:sz w:val="22"/>
                <w:szCs w:val="22"/>
                <w:highlight w:val="none"/>
              </w:rPr>
              <w:drawing>
                <wp:inline distT="0" distB="0" distL="114300" distR="114300">
                  <wp:extent cx="5268595" cy="2956560"/>
                  <wp:effectExtent l="0" t="0" r="8255"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8595" cy="2956560"/>
                          </a:xfrm>
                          <a:prstGeom prst="rect">
                            <a:avLst/>
                          </a:prstGeom>
                          <a:noFill/>
                          <a:ln>
                            <a:noFill/>
                          </a:ln>
                        </pic:spPr>
                      </pic:pic>
                    </a:graphicData>
                  </a:graphic>
                </wp:inline>
              </w:drawing>
            </w:r>
          </w:p>
          <w:p>
            <w:pPr>
              <w:ind w:firstLine="440" w:firstLineChars="200"/>
              <w:jc w:val="center"/>
              <w:rPr>
                <w:sz w:val="22"/>
                <w:szCs w:val="22"/>
                <w:highlight w:val="none"/>
              </w:rPr>
            </w:pPr>
            <w:r>
              <w:rPr>
                <w:sz w:val="22"/>
                <w:szCs w:val="22"/>
                <w:highlight w:val="none"/>
              </w:rPr>
              <w:t>图1：无线网络拓扑图</w:t>
            </w:r>
          </w:p>
          <w:p>
            <w:pPr>
              <w:spacing w:line="360" w:lineRule="exact"/>
              <w:ind w:firstLine="440" w:firstLineChars="200"/>
              <w:rPr>
                <w:sz w:val="22"/>
                <w:szCs w:val="22"/>
                <w:highlight w:val="none"/>
              </w:rPr>
            </w:pPr>
            <w:r>
              <w:rPr>
                <w:sz w:val="22"/>
                <w:szCs w:val="22"/>
                <w:highlight w:val="none"/>
              </w:rPr>
              <w:t>有线网络、无线网络统一为一个基础网络平台。统一账号，对于师生用户，只需要使用工号（学号）即可轻松实现我校有线、无线等网络的接入。账号归学校统一管理，统一以学生学号（教师工号）为登录</w:t>
            </w:r>
            <w:r>
              <w:rPr>
                <w:rFonts w:hint="eastAsia"/>
                <w:sz w:val="22"/>
                <w:szCs w:val="22"/>
                <w:highlight w:val="none"/>
              </w:rPr>
              <w:t>账</w:t>
            </w:r>
            <w:r>
              <w:rPr>
                <w:sz w:val="22"/>
                <w:szCs w:val="22"/>
                <w:highlight w:val="none"/>
              </w:rPr>
              <w:t>号，同时需与相应运营商</w:t>
            </w:r>
            <w:r>
              <w:rPr>
                <w:rFonts w:hint="eastAsia"/>
                <w:sz w:val="22"/>
                <w:szCs w:val="22"/>
                <w:highlight w:val="none"/>
              </w:rPr>
              <w:t>账</w:t>
            </w:r>
            <w:r>
              <w:rPr>
                <w:sz w:val="22"/>
                <w:szCs w:val="22"/>
                <w:highlight w:val="none"/>
              </w:rPr>
              <w:t>号进行关联绑定才可访问相应运营商的网络。若未关联运营商</w:t>
            </w:r>
            <w:r>
              <w:rPr>
                <w:rFonts w:hint="eastAsia"/>
                <w:sz w:val="22"/>
                <w:szCs w:val="22"/>
                <w:highlight w:val="none"/>
              </w:rPr>
              <w:t>账</w:t>
            </w:r>
            <w:r>
              <w:rPr>
                <w:sz w:val="22"/>
                <w:szCs w:val="22"/>
                <w:highlight w:val="none"/>
              </w:rPr>
              <w:t>号，则不能访问互联网，但可自由访问校内网资源；用户需能够自由地在各宽带服务提供商之间进行任意切换，且各师生用户在通过无线上网时在校园范围内应做到无感知漫游。</w:t>
            </w:r>
          </w:p>
          <w:p>
            <w:pPr>
              <w:spacing w:before="120" w:beforeLines="50" w:after="120" w:afterLines="50"/>
              <w:ind w:firstLine="442" w:firstLineChars="200"/>
              <w:rPr>
                <w:b/>
                <w:sz w:val="22"/>
                <w:szCs w:val="22"/>
                <w:highlight w:val="none"/>
              </w:rPr>
            </w:pPr>
            <w:r>
              <w:rPr>
                <w:b/>
                <w:sz w:val="22"/>
                <w:szCs w:val="22"/>
                <w:highlight w:val="none"/>
              </w:rPr>
              <w:t>2</w:t>
            </w:r>
            <w:r>
              <w:rPr>
                <w:rFonts w:hint="eastAsia"/>
                <w:b/>
                <w:sz w:val="22"/>
                <w:szCs w:val="22"/>
                <w:highlight w:val="none"/>
              </w:rPr>
              <w:t>）</w:t>
            </w:r>
            <w:r>
              <w:rPr>
                <w:b/>
                <w:sz w:val="22"/>
                <w:szCs w:val="22"/>
                <w:highlight w:val="none"/>
              </w:rPr>
              <w:t>无线网络</w:t>
            </w:r>
          </w:p>
          <w:p>
            <w:pPr>
              <w:spacing w:line="360" w:lineRule="exact"/>
              <w:ind w:firstLine="440" w:firstLineChars="200"/>
              <w:rPr>
                <w:sz w:val="22"/>
                <w:szCs w:val="22"/>
                <w:highlight w:val="none"/>
              </w:rPr>
            </w:pPr>
            <w:r>
              <w:rPr>
                <w:sz w:val="22"/>
                <w:szCs w:val="22"/>
                <w:highlight w:val="none"/>
              </w:rPr>
              <w:t>①覆盖场景AP部署要求</w:t>
            </w:r>
          </w:p>
          <w:p>
            <w:pPr>
              <w:spacing w:line="360" w:lineRule="exact"/>
              <w:ind w:firstLine="440" w:firstLineChars="200"/>
              <w:rPr>
                <w:sz w:val="22"/>
                <w:szCs w:val="22"/>
                <w:highlight w:val="none"/>
              </w:rPr>
            </w:pPr>
            <w:r>
              <w:rPr>
                <w:sz w:val="22"/>
                <w:szCs w:val="22"/>
                <w:highlight w:val="none"/>
              </w:rPr>
              <w:t>根据温州职业技术学院目前的实际状况，无线校园网建设所需覆盖场景建筑特点，对其部署方式有如下要求：</w:t>
            </w:r>
          </w:p>
          <w:p>
            <w:pPr>
              <w:ind w:firstLine="440" w:firstLineChars="200"/>
              <w:rPr>
                <w:sz w:val="22"/>
                <w:szCs w:val="22"/>
                <w:highlight w:val="none"/>
              </w:rPr>
            </w:pPr>
          </w:p>
          <w:p>
            <w:pPr>
              <w:ind w:firstLine="440" w:firstLineChars="200"/>
              <w:jc w:val="center"/>
              <w:rPr>
                <w:sz w:val="22"/>
                <w:szCs w:val="22"/>
                <w:highlight w:val="none"/>
              </w:rPr>
            </w:pPr>
            <w:r>
              <w:rPr>
                <w:sz w:val="22"/>
                <w:szCs w:val="22"/>
                <w:highlight w:val="none"/>
              </w:rPr>
              <w:t>表1：AP部署要求</w:t>
            </w:r>
          </w:p>
          <w:tbl>
            <w:tblPr>
              <w:tblStyle w:val="6"/>
              <w:tblW w:w="8861" w:type="dxa"/>
              <w:tblInd w:w="2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13"/>
              <w:gridCol w:w="2532"/>
              <w:gridCol w:w="4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13" w:type="dxa"/>
                  <w:noWrap w:val="0"/>
                  <w:vAlign w:val="top"/>
                </w:tcPr>
                <w:p>
                  <w:pPr>
                    <w:jc w:val="center"/>
                    <w:rPr>
                      <w:b/>
                      <w:sz w:val="22"/>
                      <w:szCs w:val="22"/>
                      <w:highlight w:val="none"/>
                    </w:rPr>
                  </w:pPr>
                  <w:r>
                    <w:rPr>
                      <w:b/>
                      <w:sz w:val="22"/>
                      <w:szCs w:val="22"/>
                      <w:highlight w:val="none"/>
                    </w:rPr>
                    <w:t>常</w:t>
                  </w:r>
                  <w:r>
                    <w:rPr>
                      <w:rFonts w:hint="eastAsia"/>
                      <w:b/>
                      <w:sz w:val="22"/>
                      <w:szCs w:val="22"/>
                      <w:highlight w:val="none"/>
                    </w:rPr>
                    <w:t xml:space="preserve"> </w:t>
                  </w:r>
                  <w:r>
                    <w:rPr>
                      <w:b/>
                      <w:sz w:val="22"/>
                      <w:szCs w:val="22"/>
                      <w:highlight w:val="none"/>
                    </w:rPr>
                    <w:t>见</w:t>
                  </w:r>
                  <w:r>
                    <w:rPr>
                      <w:rFonts w:hint="eastAsia"/>
                      <w:b/>
                      <w:sz w:val="22"/>
                      <w:szCs w:val="22"/>
                      <w:highlight w:val="none"/>
                    </w:rPr>
                    <w:t xml:space="preserve"> </w:t>
                  </w:r>
                  <w:r>
                    <w:rPr>
                      <w:b/>
                      <w:sz w:val="22"/>
                      <w:szCs w:val="22"/>
                      <w:highlight w:val="none"/>
                    </w:rPr>
                    <w:t>场</w:t>
                  </w:r>
                  <w:r>
                    <w:rPr>
                      <w:rFonts w:hint="eastAsia"/>
                      <w:b/>
                      <w:sz w:val="22"/>
                      <w:szCs w:val="22"/>
                      <w:highlight w:val="none"/>
                    </w:rPr>
                    <w:t xml:space="preserve"> </w:t>
                  </w:r>
                  <w:r>
                    <w:rPr>
                      <w:b/>
                      <w:sz w:val="22"/>
                      <w:szCs w:val="22"/>
                      <w:highlight w:val="none"/>
                    </w:rPr>
                    <w:t>景</w:t>
                  </w:r>
                </w:p>
              </w:tc>
              <w:tc>
                <w:tcPr>
                  <w:tcW w:w="2532" w:type="dxa"/>
                  <w:noWrap w:val="0"/>
                  <w:vAlign w:val="top"/>
                </w:tcPr>
                <w:p>
                  <w:pPr>
                    <w:jc w:val="center"/>
                    <w:rPr>
                      <w:b/>
                      <w:sz w:val="22"/>
                      <w:szCs w:val="22"/>
                      <w:highlight w:val="none"/>
                    </w:rPr>
                  </w:pPr>
                  <w:r>
                    <w:rPr>
                      <w:b/>
                      <w:sz w:val="22"/>
                      <w:szCs w:val="22"/>
                      <w:highlight w:val="none"/>
                    </w:rPr>
                    <w:t>建</w:t>
                  </w:r>
                  <w:r>
                    <w:rPr>
                      <w:rFonts w:hint="eastAsia"/>
                      <w:b/>
                      <w:sz w:val="22"/>
                      <w:szCs w:val="22"/>
                      <w:highlight w:val="none"/>
                    </w:rPr>
                    <w:t xml:space="preserve"> </w:t>
                  </w:r>
                  <w:r>
                    <w:rPr>
                      <w:b/>
                      <w:sz w:val="22"/>
                      <w:szCs w:val="22"/>
                      <w:highlight w:val="none"/>
                    </w:rPr>
                    <w:t>筑</w:t>
                  </w:r>
                  <w:r>
                    <w:rPr>
                      <w:rFonts w:hint="eastAsia"/>
                      <w:b/>
                      <w:sz w:val="22"/>
                      <w:szCs w:val="22"/>
                      <w:highlight w:val="none"/>
                    </w:rPr>
                    <w:t xml:space="preserve"> </w:t>
                  </w:r>
                  <w:r>
                    <w:rPr>
                      <w:b/>
                      <w:sz w:val="22"/>
                      <w:szCs w:val="22"/>
                      <w:highlight w:val="none"/>
                    </w:rPr>
                    <w:t>特</w:t>
                  </w:r>
                  <w:r>
                    <w:rPr>
                      <w:rFonts w:hint="eastAsia"/>
                      <w:b/>
                      <w:sz w:val="22"/>
                      <w:szCs w:val="22"/>
                      <w:highlight w:val="none"/>
                    </w:rPr>
                    <w:t xml:space="preserve"> </w:t>
                  </w:r>
                  <w:r>
                    <w:rPr>
                      <w:b/>
                      <w:sz w:val="22"/>
                      <w:szCs w:val="22"/>
                      <w:highlight w:val="none"/>
                    </w:rPr>
                    <w:t>点</w:t>
                  </w:r>
                </w:p>
              </w:tc>
              <w:tc>
                <w:tcPr>
                  <w:tcW w:w="4216" w:type="dxa"/>
                  <w:noWrap w:val="0"/>
                  <w:vAlign w:val="top"/>
                </w:tcPr>
                <w:p>
                  <w:pPr>
                    <w:jc w:val="center"/>
                    <w:rPr>
                      <w:b/>
                      <w:sz w:val="22"/>
                      <w:szCs w:val="22"/>
                      <w:highlight w:val="none"/>
                    </w:rPr>
                  </w:pPr>
                  <w:r>
                    <w:rPr>
                      <w:b/>
                      <w:sz w:val="22"/>
                      <w:szCs w:val="22"/>
                      <w:highlight w:val="none"/>
                    </w:rPr>
                    <w:t>部</w:t>
                  </w:r>
                  <w:r>
                    <w:rPr>
                      <w:rFonts w:hint="eastAsia"/>
                      <w:b/>
                      <w:sz w:val="22"/>
                      <w:szCs w:val="22"/>
                      <w:highlight w:val="none"/>
                    </w:rPr>
                    <w:t xml:space="preserve"> </w:t>
                  </w:r>
                  <w:r>
                    <w:rPr>
                      <w:b/>
                      <w:sz w:val="22"/>
                      <w:szCs w:val="22"/>
                      <w:highlight w:val="none"/>
                    </w:rPr>
                    <w:t>署</w:t>
                  </w:r>
                  <w:r>
                    <w:rPr>
                      <w:rFonts w:hint="eastAsia"/>
                      <w:b/>
                      <w:sz w:val="22"/>
                      <w:szCs w:val="22"/>
                      <w:highlight w:val="none"/>
                    </w:rPr>
                    <w:t xml:space="preserve"> </w:t>
                  </w:r>
                  <w:r>
                    <w:rPr>
                      <w:b/>
                      <w:sz w:val="22"/>
                      <w:szCs w:val="22"/>
                      <w:highlight w:val="none"/>
                    </w:rPr>
                    <w:t>方</w:t>
                  </w:r>
                  <w:r>
                    <w:rPr>
                      <w:rFonts w:hint="eastAsia"/>
                      <w:b/>
                      <w:sz w:val="22"/>
                      <w:szCs w:val="22"/>
                      <w:highlight w:val="none"/>
                    </w:rPr>
                    <w:t xml:space="preserve"> </w:t>
                  </w:r>
                  <w:r>
                    <w:rPr>
                      <w:b/>
                      <w:sz w:val="22"/>
                      <w:szCs w:val="22"/>
                      <w:highlight w:val="none"/>
                    </w:rPr>
                    <w:t>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13" w:type="dxa"/>
                  <w:noWrap w:val="0"/>
                  <w:vAlign w:val="center"/>
                </w:tcPr>
                <w:p>
                  <w:pPr>
                    <w:rPr>
                      <w:sz w:val="22"/>
                      <w:szCs w:val="22"/>
                      <w:highlight w:val="none"/>
                    </w:rPr>
                  </w:pPr>
                  <w:r>
                    <w:rPr>
                      <w:sz w:val="22"/>
                      <w:szCs w:val="22"/>
                      <w:highlight w:val="none"/>
                    </w:rPr>
                    <w:t>学生宿舍</w:t>
                  </w:r>
                </w:p>
              </w:tc>
              <w:tc>
                <w:tcPr>
                  <w:tcW w:w="2532" w:type="dxa"/>
                  <w:noWrap w:val="0"/>
                  <w:vAlign w:val="center"/>
                </w:tcPr>
                <w:p>
                  <w:pPr>
                    <w:rPr>
                      <w:sz w:val="22"/>
                      <w:szCs w:val="22"/>
                      <w:highlight w:val="none"/>
                    </w:rPr>
                  </w:pPr>
                  <w:r>
                    <w:rPr>
                      <w:sz w:val="22"/>
                      <w:szCs w:val="22"/>
                      <w:highlight w:val="none"/>
                    </w:rPr>
                    <w:t>房间面积小且数量多，墙体厚，对电磁波传播衰耗较大</w:t>
                  </w:r>
                  <w:r>
                    <w:rPr>
                      <w:rFonts w:hint="eastAsia"/>
                      <w:sz w:val="22"/>
                      <w:szCs w:val="22"/>
                      <w:highlight w:val="none"/>
                    </w:rPr>
                    <w:t>。</w:t>
                  </w:r>
                </w:p>
              </w:tc>
              <w:tc>
                <w:tcPr>
                  <w:tcW w:w="4216" w:type="dxa"/>
                  <w:noWrap w:val="0"/>
                  <w:vAlign w:val="center"/>
                </w:tcPr>
                <w:p>
                  <w:pPr>
                    <w:tabs>
                      <w:tab w:val="left" w:pos="30"/>
                    </w:tabs>
                    <w:rPr>
                      <w:sz w:val="22"/>
                      <w:szCs w:val="22"/>
                      <w:highlight w:val="none"/>
                    </w:rPr>
                  </w:pPr>
                  <w:r>
                    <w:rPr>
                      <w:sz w:val="22"/>
                      <w:szCs w:val="22"/>
                      <w:highlight w:val="none"/>
                    </w:rPr>
                    <w:tab/>
                  </w:r>
                  <w:r>
                    <w:rPr>
                      <w:sz w:val="22"/>
                      <w:szCs w:val="22"/>
                      <w:highlight w:val="none"/>
                    </w:rPr>
                    <w:t>AP本体通过超五类或者六类网线接入寝室内分体，AP必须</w:t>
                  </w:r>
                  <w:r>
                    <w:rPr>
                      <w:rFonts w:hint="eastAsia"/>
                      <w:sz w:val="22"/>
                      <w:szCs w:val="22"/>
                      <w:highlight w:val="none"/>
                    </w:rPr>
                    <w:t>具备4个及以上</w:t>
                  </w:r>
                  <w:r>
                    <w:rPr>
                      <w:sz w:val="22"/>
                      <w:szCs w:val="22"/>
                      <w:highlight w:val="none"/>
                    </w:rPr>
                    <w:t>以太网下联口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13" w:type="dxa"/>
                  <w:noWrap w:val="0"/>
                  <w:vAlign w:val="center"/>
                </w:tcPr>
                <w:p>
                  <w:pPr>
                    <w:rPr>
                      <w:sz w:val="22"/>
                      <w:szCs w:val="22"/>
                      <w:highlight w:val="none"/>
                    </w:rPr>
                  </w:pPr>
                  <w:r>
                    <w:rPr>
                      <w:rFonts w:hint="eastAsia"/>
                      <w:sz w:val="22"/>
                      <w:szCs w:val="22"/>
                      <w:highlight w:val="none"/>
                    </w:rPr>
                    <w:t>教室、机房、实验室、图书馆阅览室、报告厅</w:t>
                  </w:r>
                </w:p>
              </w:tc>
              <w:tc>
                <w:tcPr>
                  <w:tcW w:w="2532" w:type="dxa"/>
                  <w:noWrap w:val="0"/>
                  <w:vAlign w:val="center"/>
                </w:tcPr>
                <w:p>
                  <w:pPr>
                    <w:rPr>
                      <w:sz w:val="22"/>
                      <w:szCs w:val="22"/>
                      <w:highlight w:val="none"/>
                    </w:rPr>
                  </w:pPr>
                  <w:r>
                    <w:rPr>
                      <w:sz w:val="22"/>
                      <w:szCs w:val="22"/>
                      <w:highlight w:val="none"/>
                    </w:rPr>
                    <w:t>面积大小不一，</w:t>
                  </w:r>
                  <w:r>
                    <w:rPr>
                      <w:rFonts w:hint="eastAsia"/>
                      <w:sz w:val="22"/>
                      <w:szCs w:val="22"/>
                      <w:highlight w:val="none"/>
                    </w:rPr>
                    <w:t>人员集相对密集。</w:t>
                  </w:r>
                </w:p>
              </w:tc>
              <w:tc>
                <w:tcPr>
                  <w:tcW w:w="4216" w:type="dxa"/>
                  <w:noWrap w:val="0"/>
                  <w:vAlign w:val="center"/>
                </w:tcPr>
                <w:p>
                  <w:pPr>
                    <w:rPr>
                      <w:sz w:val="22"/>
                      <w:szCs w:val="22"/>
                      <w:highlight w:val="none"/>
                    </w:rPr>
                  </w:pPr>
                  <w:r>
                    <w:rPr>
                      <w:sz w:val="22"/>
                      <w:szCs w:val="22"/>
                      <w:highlight w:val="none"/>
                    </w:rPr>
                    <w:t>AP直放于室</w:t>
                  </w:r>
                  <w:r>
                    <w:rPr>
                      <w:rFonts w:hint="eastAsia"/>
                      <w:sz w:val="22"/>
                      <w:szCs w:val="22"/>
                      <w:highlight w:val="none"/>
                    </w:rPr>
                    <w:t>内</w:t>
                  </w:r>
                  <w:r>
                    <w:rPr>
                      <w:sz w:val="22"/>
                      <w:szCs w:val="22"/>
                      <w:highlight w:val="none"/>
                    </w:rPr>
                    <w:t>，并根据</w:t>
                  </w:r>
                  <w:r>
                    <w:rPr>
                      <w:rFonts w:hint="eastAsia"/>
                      <w:sz w:val="22"/>
                      <w:szCs w:val="22"/>
                      <w:highlight w:val="none"/>
                    </w:rPr>
                    <w:t>场所</w:t>
                  </w:r>
                  <w:r>
                    <w:rPr>
                      <w:sz w:val="22"/>
                      <w:szCs w:val="22"/>
                      <w:highlight w:val="none"/>
                    </w:rPr>
                    <w:t>大小和人数调节覆盖AP数及安装点位</w:t>
                  </w:r>
                  <w:r>
                    <w:rPr>
                      <w:rFonts w:hint="eastAsia"/>
                      <w:sz w:val="22"/>
                      <w:szCs w:val="22"/>
                      <w:highlight w:val="none"/>
                    </w:rPr>
                    <w:t>。部署高密AP。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13" w:type="dxa"/>
                  <w:noWrap w:val="0"/>
                  <w:vAlign w:val="center"/>
                </w:tcPr>
                <w:p>
                  <w:pPr>
                    <w:rPr>
                      <w:sz w:val="22"/>
                      <w:szCs w:val="22"/>
                      <w:highlight w:val="none"/>
                    </w:rPr>
                  </w:pPr>
                  <w:r>
                    <w:rPr>
                      <w:sz w:val="22"/>
                      <w:szCs w:val="22"/>
                      <w:highlight w:val="none"/>
                    </w:rPr>
                    <w:t>办公区</w:t>
                  </w:r>
                </w:p>
              </w:tc>
              <w:tc>
                <w:tcPr>
                  <w:tcW w:w="2532" w:type="dxa"/>
                  <w:noWrap w:val="0"/>
                  <w:vAlign w:val="center"/>
                </w:tcPr>
                <w:p>
                  <w:pPr>
                    <w:rPr>
                      <w:sz w:val="22"/>
                      <w:szCs w:val="22"/>
                      <w:highlight w:val="none"/>
                    </w:rPr>
                  </w:pPr>
                  <w:r>
                    <w:rPr>
                      <w:sz w:val="22"/>
                      <w:szCs w:val="22"/>
                      <w:highlight w:val="none"/>
                    </w:rPr>
                    <w:t>房间面积不大，墙体厚，对电磁波传输衰减较大</w:t>
                  </w:r>
                </w:p>
              </w:tc>
              <w:tc>
                <w:tcPr>
                  <w:tcW w:w="4216" w:type="dxa"/>
                  <w:noWrap w:val="0"/>
                  <w:vAlign w:val="center"/>
                </w:tcPr>
                <w:p>
                  <w:pPr>
                    <w:rPr>
                      <w:sz w:val="22"/>
                      <w:szCs w:val="22"/>
                      <w:highlight w:val="none"/>
                    </w:rPr>
                  </w:pPr>
                  <w:r>
                    <w:rPr>
                      <w:sz w:val="22"/>
                      <w:szCs w:val="22"/>
                      <w:highlight w:val="none"/>
                    </w:rPr>
                    <w:t>AP放于走廊或者办公室内</w:t>
                  </w:r>
                  <w:r>
                    <w:rPr>
                      <w:rFonts w:hint="eastAsia"/>
                      <w:sz w:val="22"/>
                      <w:szCs w:val="22"/>
                      <w:highlight w:val="none"/>
                    </w:rPr>
                    <w:t>。主要部署面板AP或分体AP。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13" w:type="dxa"/>
                  <w:noWrap w:val="0"/>
                  <w:vAlign w:val="center"/>
                </w:tcPr>
                <w:p>
                  <w:pPr>
                    <w:rPr>
                      <w:sz w:val="22"/>
                      <w:szCs w:val="22"/>
                      <w:highlight w:val="none"/>
                    </w:rPr>
                  </w:pPr>
                  <w:r>
                    <w:rPr>
                      <w:sz w:val="22"/>
                      <w:szCs w:val="22"/>
                      <w:highlight w:val="none"/>
                    </w:rPr>
                    <w:t>图书馆</w:t>
                  </w:r>
                </w:p>
              </w:tc>
              <w:tc>
                <w:tcPr>
                  <w:tcW w:w="2532" w:type="dxa"/>
                  <w:noWrap w:val="0"/>
                  <w:vAlign w:val="center"/>
                </w:tcPr>
                <w:p>
                  <w:pPr>
                    <w:rPr>
                      <w:sz w:val="22"/>
                      <w:szCs w:val="22"/>
                      <w:highlight w:val="none"/>
                    </w:rPr>
                  </w:pPr>
                  <w:r>
                    <w:rPr>
                      <w:sz w:val="22"/>
                      <w:szCs w:val="22"/>
                      <w:highlight w:val="none"/>
                    </w:rPr>
                    <w:t>楼层面积较大，较为空旷</w:t>
                  </w:r>
                </w:p>
              </w:tc>
              <w:tc>
                <w:tcPr>
                  <w:tcW w:w="4216" w:type="dxa"/>
                  <w:noWrap w:val="0"/>
                  <w:vAlign w:val="center"/>
                </w:tcPr>
                <w:p>
                  <w:pPr>
                    <w:rPr>
                      <w:sz w:val="22"/>
                      <w:szCs w:val="22"/>
                      <w:highlight w:val="none"/>
                    </w:rPr>
                  </w:pPr>
                  <w:r>
                    <w:rPr>
                      <w:sz w:val="22"/>
                      <w:szCs w:val="22"/>
                      <w:highlight w:val="none"/>
                    </w:rPr>
                    <w:t>AP直放于图书馆各个区域</w:t>
                  </w:r>
                  <w:r>
                    <w:rPr>
                      <w:rFonts w:hint="eastAsia"/>
                      <w:sz w:val="22"/>
                      <w:szCs w:val="22"/>
                      <w:highlight w:val="none"/>
                    </w:rPr>
                    <w:t>。部署放装式普通AP。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13" w:type="dxa"/>
                  <w:noWrap w:val="0"/>
                  <w:vAlign w:val="center"/>
                </w:tcPr>
                <w:p>
                  <w:pPr>
                    <w:rPr>
                      <w:sz w:val="22"/>
                      <w:szCs w:val="22"/>
                      <w:highlight w:val="none"/>
                    </w:rPr>
                  </w:pPr>
                  <w:r>
                    <w:rPr>
                      <w:sz w:val="22"/>
                      <w:szCs w:val="22"/>
                      <w:highlight w:val="none"/>
                    </w:rPr>
                    <w:t>体育馆</w:t>
                  </w:r>
                </w:p>
              </w:tc>
              <w:tc>
                <w:tcPr>
                  <w:tcW w:w="2532" w:type="dxa"/>
                  <w:noWrap w:val="0"/>
                  <w:vAlign w:val="center"/>
                </w:tcPr>
                <w:p>
                  <w:pPr>
                    <w:rPr>
                      <w:sz w:val="22"/>
                      <w:szCs w:val="22"/>
                      <w:highlight w:val="none"/>
                    </w:rPr>
                  </w:pPr>
                  <w:r>
                    <w:rPr>
                      <w:sz w:val="22"/>
                      <w:szCs w:val="22"/>
                      <w:highlight w:val="none"/>
                    </w:rPr>
                    <w:t>楼层面积较大，层高很高，部分区域空旷</w:t>
                  </w:r>
                  <w:r>
                    <w:rPr>
                      <w:rFonts w:hint="eastAsia"/>
                      <w:sz w:val="22"/>
                      <w:szCs w:val="22"/>
                      <w:highlight w:val="none"/>
                    </w:rPr>
                    <w:t>。</w:t>
                  </w:r>
                </w:p>
              </w:tc>
              <w:tc>
                <w:tcPr>
                  <w:tcW w:w="4216" w:type="dxa"/>
                  <w:noWrap w:val="0"/>
                  <w:vAlign w:val="center"/>
                </w:tcPr>
                <w:p>
                  <w:pPr>
                    <w:rPr>
                      <w:sz w:val="22"/>
                      <w:szCs w:val="22"/>
                      <w:highlight w:val="none"/>
                    </w:rPr>
                  </w:pPr>
                  <w:r>
                    <w:rPr>
                      <w:sz w:val="22"/>
                      <w:szCs w:val="22"/>
                      <w:highlight w:val="none"/>
                    </w:rPr>
                    <w:t>AP直放于至体育馆内</w:t>
                  </w:r>
                  <w:r>
                    <w:rPr>
                      <w:rFonts w:hint="eastAsia"/>
                      <w:sz w:val="22"/>
                      <w:szCs w:val="22"/>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13" w:type="dxa"/>
                  <w:noWrap w:val="0"/>
                  <w:vAlign w:val="center"/>
                </w:tcPr>
                <w:p>
                  <w:pPr>
                    <w:rPr>
                      <w:sz w:val="22"/>
                      <w:szCs w:val="22"/>
                      <w:highlight w:val="none"/>
                    </w:rPr>
                  </w:pPr>
                  <w:r>
                    <w:rPr>
                      <w:sz w:val="22"/>
                      <w:szCs w:val="22"/>
                      <w:highlight w:val="none"/>
                    </w:rPr>
                    <w:t>会议室</w:t>
                  </w:r>
                </w:p>
              </w:tc>
              <w:tc>
                <w:tcPr>
                  <w:tcW w:w="2532" w:type="dxa"/>
                  <w:noWrap w:val="0"/>
                  <w:vAlign w:val="center"/>
                </w:tcPr>
                <w:p>
                  <w:pPr>
                    <w:rPr>
                      <w:sz w:val="22"/>
                      <w:szCs w:val="22"/>
                      <w:highlight w:val="none"/>
                    </w:rPr>
                  </w:pPr>
                  <w:r>
                    <w:rPr>
                      <w:sz w:val="22"/>
                      <w:szCs w:val="22"/>
                      <w:highlight w:val="none"/>
                    </w:rPr>
                    <w:t>面积较大，层高有些高，区域空旷</w:t>
                  </w:r>
                </w:p>
              </w:tc>
              <w:tc>
                <w:tcPr>
                  <w:tcW w:w="4216" w:type="dxa"/>
                  <w:noWrap w:val="0"/>
                  <w:vAlign w:val="center"/>
                </w:tcPr>
                <w:p>
                  <w:pPr>
                    <w:rPr>
                      <w:sz w:val="22"/>
                      <w:szCs w:val="22"/>
                      <w:highlight w:val="none"/>
                    </w:rPr>
                  </w:pPr>
                  <w:r>
                    <w:rPr>
                      <w:sz w:val="22"/>
                      <w:szCs w:val="22"/>
                      <w:highlight w:val="none"/>
                    </w:rPr>
                    <w:t>AP直放于会议室内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13" w:type="dxa"/>
                  <w:noWrap w:val="0"/>
                  <w:vAlign w:val="center"/>
                </w:tcPr>
                <w:p>
                  <w:pPr>
                    <w:rPr>
                      <w:sz w:val="22"/>
                      <w:szCs w:val="22"/>
                      <w:highlight w:val="none"/>
                    </w:rPr>
                  </w:pPr>
                  <w:r>
                    <w:rPr>
                      <w:sz w:val="22"/>
                      <w:szCs w:val="22"/>
                      <w:highlight w:val="none"/>
                    </w:rPr>
                    <w:t>食堂</w:t>
                  </w:r>
                </w:p>
              </w:tc>
              <w:tc>
                <w:tcPr>
                  <w:tcW w:w="2532" w:type="dxa"/>
                  <w:noWrap w:val="0"/>
                  <w:vAlign w:val="center"/>
                </w:tcPr>
                <w:p>
                  <w:pPr>
                    <w:rPr>
                      <w:sz w:val="22"/>
                      <w:szCs w:val="22"/>
                      <w:highlight w:val="none"/>
                    </w:rPr>
                  </w:pPr>
                  <w:r>
                    <w:rPr>
                      <w:sz w:val="22"/>
                      <w:szCs w:val="22"/>
                      <w:highlight w:val="none"/>
                    </w:rPr>
                    <w:t>楼层面积较大，层高不高，部分区域空旷</w:t>
                  </w:r>
                </w:p>
              </w:tc>
              <w:tc>
                <w:tcPr>
                  <w:tcW w:w="4216" w:type="dxa"/>
                  <w:noWrap w:val="0"/>
                  <w:vAlign w:val="center"/>
                </w:tcPr>
                <w:p>
                  <w:pPr>
                    <w:rPr>
                      <w:sz w:val="22"/>
                      <w:szCs w:val="22"/>
                      <w:highlight w:val="none"/>
                    </w:rPr>
                  </w:pPr>
                  <w:r>
                    <w:rPr>
                      <w:sz w:val="22"/>
                      <w:szCs w:val="22"/>
                      <w:highlight w:val="none"/>
                    </w:rPr>
                    <w:t>AP直放于食堂内，并根据场地大小和人数自由调节覆盖AP数及安装点位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13" w:type="dxa"/>
                  <w:noWrap w:val="0"/>
                  <w:vAlign w:val="center"/>
                </w:tcPr>
                <w:p>
                  <w:pPr>
                    <w:rPr>
                      <w:sz w:val="22"/>
                      <w:szCs w:val="22"/>
                      <w:highlight w:val="none"/>
                    </w:rPr>
                  </w:pPr>
                  <w:r>
                    <w:rPr>
                      <w:rFonts w:hint="eastAsia"/>
                      <w:sz w:val="22"/>
                      <w:szCs w:val="22"/>
                      <w:highlight w:val="none"/>
                    </w:rPr>
                    <w:t>田径场、</w:t>
                  </w:r>
                  <w:r>
                    <w:rPr>
                      <w:sz w:val="22"/>
                      <w:szCs w:val="22"/>
                      <w:highlight w:val="none"/>
                    </w:rPr>
                    <w:t>室外绿地</w:t>
                  </w:r>
                </w:p>
              </w:tc>
              <w:tc>
                <w:tcPr>
                  <w:tcW w:w="2532" w:type="dxa"/>
                  <w:noWrap w:val="0"/>
                  <w:vAlign w:val="center"/>
                </w:tcPr>
                <w:p>
                  <w:pPr>
                    <w:rPr>
                      <w:sz w:val="22"/>
                      <w:szCs w:val="22"/>
                      <w:highlight w:val="none"/>
                    </w:rPr>
                  </w:pPr>
                  <w:r>
                    <w:rPr>
                      <w:sz w:val="22"/>
                      <w:szCs w:val="22"/>
                      <w:highlight w:val="none"/>
                    </w:rPr>
                    <w:t>占地面积大，较空旷</w:t>
                  </w:r>
                </w:p>
              </w:tc>
              <w:tc>
                <w:tcPr>
                  <w:tcW w:w="4216" w:type="dxa"/>
                  <w:noWrap w:val="0"/>
                  <w:vAlign w:val="center"/>
                </w:tcPr>
                <w:p>
                  <w:pPr>
                    <w:rPr>
                      <w:sz w:val="22"/>
                      <w:szCs w:val="22"/>
                      <w:highlight w:val="none"/>
                    </w:rPr>
                  </w:pPr>
                  <w:r>
                    <w:rPr>
                      <w:sz w:val="22"/>
                      <w:szCs w:val="22"/>
                      <w:highlight w:val="none"/>
                    </w:rPr>
                    <w:t>将室外AP放至楼顶、利用定向天线覆盖需求区域。</w:t>
                  </w:r>
                </w:p>
              </w:tc>
            </w:tr>
          </w:tbl>
          <w:p>
            <w:pPr>
              <w:spacing w:line="360" w:lineRule="exact"/>
              <w:ind w:firstLine="440" w:firstLineChars="200"/>
              <w:rPr>
                <w:sz w:val="22"/>
                <w:szCs w:val="22"/>
                <w:highlight w:val="none"/>
              </w:rPr>
            </w:pPr>
            <w:r>
              <w:rPr>
                <w:sz w:val="22"/>
                <w:szCs w:val="22"/>
                <w:highlight w:val="none"/>
              </w:rPr>
              <w:t>②覆盖场景可用性要求</w:t>
            </w:r>
          </w:p>
          <w:p>
            <w:pPr>
              <w:spacing w:line="360" w:lineRule="exact"/>
              <w:ind w:firstLine="440" w:firstLineChars="200"/>
              <w:rPr>
                <w:sz w:val="22"/>
                <w:szCs w:val="22"/>
                <w:highlight w:val="none"/>
              </w:rPr>
            </w:pPr>
            <w:r>
              <w:rPr>
                <w:rFonts w:hint="eastAsia"/>
                <w:sz w:val="22"/>
                <w:szCs w:val="22"/>
                <w:highlight w:val="none"/>
              </w:rPr>
              <w:t>学生宿舍、教室、小型会议室、办公区场景的无线场强原则上≥-65，ping包成功率99%以上，平均延时50ms以内；体育馆、图书馆、报告厅、食堂等高密场景无线场强原则上≥-70，ping包成功率98%以上，平均延时70ms以内；；田径场、绿地等室外公共空间场景无线场强原则上≥-75，ping包成功率95%以上，平均延时100ms以内；。</w:t>
            </w:r>
          </w:p>
          <w:p>
            <w:pPr>
              <w:spacing w:line="360" w:lineRule="exact"/>
              <w:ind w:firstLine="440" w:firstLineChars="200"/>
              <w:rPr>
                <w:sz w:val="22"/>
                <w:szCs w:val="22"/>
                <w:highlight w:val="none"/>
              </w:rPr>
            </w:pPr>
            <w:r>
              <w:rPr>
                <w:sz w:val="22"/>
                <w:szCs w:val="22"/>
                <w:highlight w:val="none"/>
              </w:rPr>
              <w:t>③无线网络技术要求</w:t>
            </w:r>
          </w:p>
          <w:p>
            <w:pPr>
              <w:spacing w:line="360" w:lineRule="exact"/>
              <w:ind w:firstLine="440" w:firstLineChars="200"/>
              <w:rPr>
                <w:sz w:val="22"/>
                <w:szCs w:val="22"/>
                <w:highlight w:val="none"/>
              </w:rPr>
            </w:pPr>
            <w:r>
              <w:rPr>
                <w:sz w:val="22"/>
                <w:szCs w:val="22"/>
                <w:highlight w:val="none"/>
              </w:rPr>
              <w:t>整体上</w:t>
            </w:r>
            <w:r>
              <w:rPr>
                <w:rFonts w:hint="eastAsia"/>
                <w:sz w:val="22"/>
                <w:szCs w:val="22"/>
                <w:highlight w:val="none"/>
              </w:rPr>
              <w:t>采用</w:t>
            </w:r>
            <w:r>
              <w:rPr>
                <w:sz w:val="22"/>
                <w:szCs w:val="22"/>
                <w:highlight w:val="none"/>
              </w:rPr>
              <w:t>大二层扁平化结构，同时新增无线网核心设备（包括但不仅限于无线控制器），核心区域，无线控制器，</w:t>
            </w:r>
            <w:r>
              <w:rPr>
                <w:rFonts w:hint="eastAsia"/>
                <w:sz w:val="22"/>
                <w:szCs w:val="22"/>
                <w:highlight w:val="none"/>
              </w:rPr>
              <w:t>楼幢汇聚交换机、</w:t>
            </w:r>
            <w:r>
              <w:rPr>
                <w:sz w:val="22"/>
                <w:szCs w:val="22"/>
                <w:highlight w:val="none"/>
              </w:rPr>
              <w:t>认证计费系统间皆实现万兆数据交换。</w:t>
            </w:r>
          </w:p>
          <w:p>
            <w:pPr>
              <w:spacing w:line="360" w:lineRule="exact"/>
              <w:ind w:firstLine="440" w:firstLineChars="200"/>
              <w:rPr>
                <w:sz w:val="22"/>
                <w:szCs w:val="22"/>
                <w:highlight w:val="none"/>
              </w:rPr>
            </w:pPr>
            <w:r>
              <w:rPr>
                <w:sz w:val="22"/>
                <w:szCs w:val="22"/>
                <w:highlight w:val="none"/>
              </w:rPr>
              <w:t>a.核心区域技术要求</w:t>
            </w:r>
          </w:p>
          <w:p>
            <w:pPr>
              <w:pStyle w:val="8"/>
              <w:numPr>
                <w:ilvl w:val="0"/>
                <w:numId w:val="2"/>
              </w:numPr>
              <w:spacing w:line="360" w:lineRule="exact"/>
              <w:ind w:firstLineChars="0"/>
              <w:rPr>
                <w:sz w:val="22"/>
                <w:highlight w:val="none"/>
              </w:rPr>
            </w:pPr>
            <w:r>
              <w:rPr>
                <w:rFonts w:ascii="Arial" w:hAnsi="Arial" w:cs="Arial"/>
                <w:sz w:val="22"/>
                <w:highlight w:val="none"/>
              </w:rPr>
              <w:t>▲</w:t>
            </w:r>
            <w:r>
              <w:rPr>
                <w:sz w:val="22"/>
                <w:highlight w:val="none"/>
                <w:u w:val="single"/>
              </w:rPr>
              <w:t>需提供如何高效抑制无线网络噪声的解决方案</w:t>
            </w:r>
            <w:r>
              <w:rPr>
                <w:rFonts w:hint="eastAsia"/>
                <w:sz w:val="22"/>
                <w:highlight w:val="none"/>
                <w:u w:val="single"/>
              </w:rPr>
              <w:t>；</w:t>
            </w:r>
          </w:p>
          <w:p>
            <w:pPr>
              <w:pStyle w:val="8"/>
              <w:numPr>
                <w:ilvl w:val="0"/>
                <w:numId w:val="2"/>
              </w:numPr>
              <w:spacing w:line="360" w:lineRule="exact"/>
              <w:ind w:firstLineChars="0"/>
              <w:rPr>
                <w:sz w:val="22"/>
                <w:highlight w:val="none"/>
              </w:rPr>
            </w:pPr>
            <w:r>
              <w:rPr>
                <w:rFonts w:ascii="Arial" w:hAnsi="Arial" w:cs="Arial"/>
                <w:sz w:val="22"/>
                <w:highlight w:val="none"/>
              </w:rPr>
              <w:t>▲</w:t>
            </w:r>
            <w:r>
              <w:rPr>
                <w:sz w:val="22"/>
                <w:highlight w:val="none"/>
                <w:u w:val="single"/>
              </w:rPr>
              <w:t>需提供无线网络采用大二层扁平化结构的具体方案</w:t>
            </w:r>
            <w:r>
              <w:rPr>
                <w:rFonts w:hint="eastAsia"/>
                <w:sz w:val="22"/>
                <w:highlight w:val="none"/>
                <w:u w:val="single"/>
              </w:rPr>
              <w:t>；</w:t>
            </w:r>
          </w:p>
          <w:p>
            <w:pPr>
              <w:pStyle w:val="8"/>
              <w:numPr>
                <w:ilvl w:val="0"/>
                <w:numId w:val="2"/>
              </w:numPr>
              <w:spacing w:line="360" w:lineRule="exact"/>
              <w:ind w:firstLineChars="0"/>
              <w:rPr>
                <w:sz w:val="22"/>
                <w:highlight w:val="none"/>
              </w:rPr>
            </w:pPr>
            <w:r>
              <w:rPr>
                <w:rFonts w:ascii="Arial" w:hAnsi="Arial" w:cs="Arial"/>
                <w:sz w:val="22"/>
                <w:highlight w:val="none"/>
              </w:rPr>
              <w:t>▲</w:t>
            </w:r>
            <w:r>
              <w:rPr>
                <w:sz w:val="22"/>
                <w:highlight w:val="none"/>
                <w:u w:val="single"/>
              </w:rPr>
              <w:t>楼宇汇聚交换机与无线核心设备采用万兆互联</w:t>
            </w:r>
            <w:r>
              <w:rPr>
                <w:rFonts w:hint="eastAsia"/>
                <w:sz w:val="22"/>
                <w:highlight w:val="none"/>
                <w:u w:val="single"/>
              </w:rPr>
              <w:t>；</w:t>
            </w:r>
          </w:p>
          <w:p>
            <w:pPr>
              <w:pStyle w:val="8"/>
              <w:numPr>
                <w:ilvl w:val="0"/>
                <w:numId w:val="2"/>
              </w:numPr>
              <w:spacing w:line="360" w:lineRule="exact"/>
              <w:ind w:firstLineChars="0"/>
              <w:rPr>
                <w:sz w:val="22"/>
                <w:highlight w:val="none"/>
              </w:rPr>
            </w:pPr>
            <w:r>
              <w:rPr>
                <w:rFonts w:ascii="Arial" w:hAnsi="Arial" w:cs="Arial"/>
                <w:sz w:val="22"/>
                <w:highlight w:val="none"/>
              </w:rPr>
              <w:t>▲</w:t>
            </w:r>
            <w:r>
              <w:rPr>
                <w:sz w:val="22"/>
                <w:highlight w:val="none"/>
                <w:u w:val="single"/>
              </w:rPr>
              <w:t>采用多台无线AC控制器</w:t>
            </w:r>
            <w:r>
              <w:rPr>
                <w:rFonts w:hint="eastAsia"/>
                <w:sz w:val="22"/>
                <w:highlight w:val="none"/>
                <w:u w:val="single"/>
              </w:rPr>
              <w:t>，</w:t>
            </w:r>
            <w:r>
              <w:rPr>
                <w:sz w:val="22"/>
                <w:highlight w:val="none"/>
                <w:u w:val="single"/>
              </w:rPr>
              <w:t>AC控制器间通过虚拟化技术组成一个逻辑上的整体集群,对温州职业技术学院的整网AP进行管理及负载分担</w:t>
            </w:r>
            <w:r>
              <w:rPr>
                <w:rFonts w:hint="eastAsia"/>
                <w:sz w:val="22"/>
                <w:highlight w:val="none"/>
                <w:u w:val="single"/>
              </w:rPr>
              <w:t>，</w:t>
            </w:r>
            <w:r>
              <w:rPr>
                <w:sz w:val="22"/>
                <w:highlight w:val="none"/>
                <w:u w:val="single"/>
              </w:rPr>
              <w:t>各AC间通过监测机制判定互相的状态</w:t>
            </w:r>
            <w:r>
              <w:rPr>
                <w:rFonts w:hint="eastAsia"/>
                <w:sz w:val="22"/>
                <w:highlight w:val="none"/>
                <w:u w:val="single"/>
              </w:rPr>
              <w:t>，</w:t>
            </w:r>
            <w:r>
              <w:rPr>
                <w:sz w:val="22"/>
                <w:highlight w:val="none"/>
                <w:u w:val="single"/>
              </w:rPr>
              <w:t>当其中一台AC控制器发生故障时,整体集群中的其他设备都可以接管原来由其负责的AP设备</w:t>
            </w:r>
            <w:r>
              <w:rPr>
                <w:rFonts w:hint="eastAsia"/>
                <w:sz w:val="22"/>
                <w:highlight w:val="none"/>
                <w:u w:val="single"/>
              </w:rPr>
              <w:t>，</w:t>
            </w:r>
            <w:r>
              <w:rPr>
                <w:sz w:val="22"/>
                <w:highlight w:val="none"/>
                <w:u w:val="single"/>
              </w:rPr>
              <w:t>当故障AC控制器恢复正常后,被接管的设备可根据负载分担情况迁移回原负责AC控制器上,以避免出现因AC故障导致的整网故障.AC控制器的具体参数详见表4《主要设备技术参数》</w:t>
            </w:r>
            <w:r>
              <w:rPr>
                <w:rFonts w:hint="eastAsia"/>
                <w:sz w:val="22"/>
                <w:highlight w:val="none"/>
                <w:u w:val="single"/>
              </w:rPr>
              <w:t>；</w:t>
            </w:r>
          </w:p>
          <w:p>
            <w:pPr>
              <w:pStyle w:val="8"/>
              <w:numPr>
                <w:ilvl w:val="0"/>
                <w:numId w:val="2"/>
              </w:numPr>
              <w:spacing w:line="360" w:lineRule="exact"/>
              <w:ind w:firstLineChars="0"/>
              <w:rPr>
                <w:sz w:val="22"/>
                <w:highlight w:val="none"/>
              </w:rPr>
            </w:pPr>
            <w:r>
              <w:rPr>
                <w:sz w:val="22"/>
                <w:highlight w:val="none"/>
              </w:rPr>
              <w:t>带宽方面，当前无线主流AP为802.11AC</w:t>
            </w:r>
            <w:r>
              <w:rPr>
                <w:rFonts w:hint="eastAsia"/>
                <w:sz w:val="22"/>
                <w:highlight w:val="none"/>
              </w:rPr>
              <w:t xml:space="preserve"> wave2</w:t>
            </w:r>
            <w:r>
              <w:rPr>
                <w:sz w:val="22"/>
                <w:highlight w:val="none"/>
              </w:rPr>
              <w:t>，性能在千兆级别，楼宇POE采用万兆端口，无线核心需要配置足够的万兆单板</w:t>
            </w:r>
            <w:r>
              <w:rPr>
                <w:rFonts w:hint="eastAsia"/>
                <w:sz w:val="22"/>
                <w:highlight w:val="none"/>
              </w:rPr>
              <w:t>；</w:t>
            </w:r>
          </w:p>
          <w:p>
            <w:pPr>
              <w:pStyle w:val="8"/>
              <w:numPr>
                <w:ilvl w:val="0"/>
                <w:numId w:val="2"/>
              </w:numPr>
              <w:spacing w:line="360" w:lineRule="exact"/>
              <w:ind w:firstLineChars="0"/>
              <w:rPr>
                <w:sz w:val="22"/>
                <w:highlight w:val="none"/>
              </w:rPr>
            </w:pPr>
            <w:r>
              <w:rPr>
                <w:rFonts w:ascii="Arial" w:hAnsi="Arial" w:cs="Arial"/>
                <w:sz w:val="22"/>
                <w:highlight w:val="none"/>
              </w:rPr>
              <w:t>▲</w:t>
            </w:r>
            <w:r>
              <w:rPr>
                <w:sz w:val="22"/>
                <w:highlight w:val="none"/>
                <w:u w:val="single"/>
              </w:rPr>
              <w:t>无线核心设备必须要与校园网当前使用的</w:t>
            </w:r>
            <w:r>
              <w:rPr>
                <w:rFonts w:hint="eastAsia"/>
                <w:sz w:val="22"/>
                <w:highlight w:val="none"/>
                <w:u w:val="single"/>
              </w:rPr>
              <w:t>城市热点</w:t>
            </w:r>
            <w:r>
              <w:rPr>
                <w:sz w:val="22"/>
                <w:highlight w:val="none"/>
                <w:u w:val="single"/>
              </w:rPr>
              <w:t>认证系统对接，从而实现无线用户上网时的接入认证，以达到对校园网上网用户进行统一认证及管理的目的</w:t>
            </w:r>
            <w:r>
              <w:rPr>
                <w:rFonts w:hint="eastAsia"/>
                <w:sz w:val="22"/>
                <w:highlight w:val="none"/>
              </w:rPr>
              <w:t>；</w:t>
            </w:r>
          </w:p>
          <w:p>
            <w:pPr>
              <w:pStyle w:val="8"/>
              <w:numPr>
                <w:ilvl w:val="0"/>
                <w:numId w:val="2"/>
              </w:numPr>
              <w:spacing w:line="360" w:lineRule="exact"/>
              <w:ind w:firstLineChars="0"/>
              <w:rPr>
                <w:sz w:val="22"/>
                <w:highlight w:val="none"/>
              </w:rPr>
            </w:pPr>
            <w:r>
              <w:rPr>
                <w:rFonts w:ascii="Arial" w:hAnsi="Arial" w:cs="Arial"/>
                <w:sz w:val="22"/>
                <w:highlight w:val="none"/>
              </w:rPr>
              <w:t>▲</w:t>
            </w:r>
            <w:r>
              <w:rPr>
                <w:sz w:val="22"/>
                <w:highlight w:val="none"/>
                <w:u w:val="single"/>
              </w:rPr>
              <w:t>对系统进行规划，使无线系统能更好的进行定位，可以定位AP</w:t>
            </w:r>
            <w:r>
              <w:rPr>
                <w:rFonts w:hint="eastAsia"/>
                <w:sz w:val="22"/>
                <w:highlight w:val="none"/>
                <w:u w:val="single"/>
              </w:rPr>
              <w:t>、</w:t>
            </w:r>
            <w:r>
              <w:rPr>
                <w:sz w:val="22"/>
                <w:highlight w:val="none"/>
                <w:u w:val="single"/>
              </w:rPr>
              <w:t>手机</w:t>
            </w:r>
            <w:r>
              <w:rPr>
                <w:rFonts w:hint="eastAsia"/>
                <w:sz w:val="22"/>
                <w:highlight w:val="none"/>
                <w:u w:val="single"/>
              </w:rPr>
              <w:t>、</w:t>
            </w:r>
            <w:r>
              <w:rPr>
                <w:sz w:val="22"/>
                <w:highlight w:val="none"/>
                <w:u w:val="single"/>
              </w:rPr>
              <w:t>笔记本等多种终端的大致方向与位置，在部分敏感区域需要达到较高准确度，具备历史轨迹追踪能力，可以针对过去24小时内终端的运动轨迹进行展现</w:t>
            </w:r>
            <w:r>
              <w:rPr>
                <w:rFonts w:hint="eastAsia"/>
                <w:sz w:val="22"/>
                <w:highlight w:val="none"/>
              </w:rPr>
              <w:t>；</w:t>
            </w:r>
          </w:p>
          <w:p>
            <w:pPr>
              <w:spacing w:line="360" w:lineRule="exact"/>
              <w:ind w:firstLine="440" w:firstLineChars="200"/>
              <w:rPr>
                <w:sz w:val="22"/>
                <w:szCs w:val="22"/>
                <w:highlight w:val="none"/>
              </w:rPr>
            </w:pPr>
            <w:r>
              <w:rPr>
                <w:sz w:val="22"/>
                <w:szCs w:val="22"/>
                <w:highlight w:val="none"/>
              </w:rPr>
              <w:t>b.接入区域技术要求</w:t>
            </w:r>
          </w:p>
          <w:p>
            <w:pPr>
              <w:pStyle w:val="8"/>
              <w:numPr>
                <w:ilvl w:val="0"/>
                <w:numId w:val="3"/>
              </w:numPr>
              <w:spacing w:line="360" w:lineRule="exact"/>
              <w:ind w:firstLineChars="0"/>
              <w:rPr>
                <w:sz w:val="22"/>
                <w:highlight w:val="none"/>
              </w:rPr>
            </w:pPr>
            <w:r>
              <w:rPr>
                <w:sz w:val="22"/>
                <w:highlight w:val="none"/>
              </w:rPr>
              <w:t>楼宇交换机必须为万兆交换机，同时需支持QinQ技术，无线校园网络的全系无线产品均应支持IPv4/IPv6双栈。楼宇交换机具体参数详见表4《主要设备技术参数》</w:t>
            </w:r>
            <w:r>
              <w:rPr>
                <w:rFonts w:hint="eastAsia"/>
                <w:sz w:val="22"/>
                <w:highlight w:val="none"/>
              </w:rPr>
              <w:t>；</w:t>
            </w:r>
          </w:p>
          <w:p>
            <w:pPr>
              <w:pStyle w:val="8"/>
              <w:numPr>
                <w:ilvl w:val="0"/>
                <w:numId w:val="3"/>
              </w:numPr>
              <w:spacing w:line="360" w:lineRule="exact"/>
              <w:ind w:firstLineChars="0"/>
              <w:rPr>
                <w:sz w:val="22"/>
                <w:highlight w:val="none"/>
              </w:rPr>
            </w:pPr>
            <w:r>
              <w:rPr>
                <w:sz w:val="22"/>
                <w:highlight w:val="none"/>
              </w:rPr>
              <w:t>接入交换机需支持POE供电方式，交换机全端口或至少20个端口供电。接入交换机必须根据覆盖场景的具体情况应分别配置千兆或万兆交换机。接入交换机具体参数详见表4《主要设备技术参数》</w:t>
            </w:r>
            <w:r>
              <w:rPr>
                <w:rFonts w:hint="eastAsia"/>
                <w:sz w:val="22"/>
                <w:highlight w:val="none"/>
              </w:rPr>
              <w:t>；</w:t>
            </w:r>
          </w:p>
          <w:p>
            <w:pPr>
              <w:pStyle w:val="8"/>
              <w:numPr>
                <w:ilvl w:val="0"/>
                <w:numId w:val="3"/>
              </w:numPr>
              <w:spacing w:line="360" w:lineRule="exact"/>
              <w:ind w:firstLineChars="0"/>
              <w:rPr>
                <w:sz w:val="22"/>
                <w:highlight w:val="none"/>
              </w:rPr>
            </w:pPr>
            <w:r>
              <w:rPr>
                <w:rFonts w:ascii="Arial" w:hAnsi="Arial" w:cs="Arial"/>
                <w:sz w:val="22"/>
                <w:highlight w:val="none"/>
              </w:rPr>
              <w:t>▲</w:t>
            </w:r>
            <w:r>
              <w:rPr>
                <w:sz w:val="22"/>
                <w:highlight w:val="none"/>
                <w:u w:val="single"/>
              </w:rPr>
              <w:t>当无线接入设备到其上行汇聚设备的链路流量，达到该链路最大设计流量70%后，成交供应商需对该链路或设备进行升级或扩容</w:t>
            </w:r>
            <w:r>
              <w:rPr>
                <w:rFonts w:hint="eastAsia"/>
                <w:sz w:val="22"/>
                <w:highlight w:val="none"/>
                <w:u w:val="single"/>
              </w:rPr>
              <w:t>；</w:t>
            </w:r>
          </w:p>
          <w:p>
            <w:pPr>
              <w:pStyle w:val="8"/>
              <w:numPr>
                <w:ilvl w:val="0"/>
                <w:numId w:val="3"/>
              </w:numPr>
              <w:spacing w:line="360" w:lineRule="exact"/>
              <w:ind w:firstLineChars="0"/>
              <w:rPr>
                <w:sz w:val="22"/>
                <w:highlight w:val="none"/>
              </w:rPr>
            </w:pPr>
            <w:r>
              <w:rPr>
                <w:rFonts w:ascii="Arial" w:hAnsi="Arial" w:cs="Arial"/>
                <w:sz w:val="22"/>
                <w:highlight w:val="none"/>
              </w:rPr>
              <w:t>▲</w:t>
            </w:r>
            <w:r>
              <w:rPr>
                <w:sz w:val="22"/>
                <w:highlight w:val="none"/>
                <w:u w:val="single"/>
              </w:rPr>
              <w:t>大容量的用户场景（学生宿舍，大型教室，会议场馆等）的接入POE交换机必须要有万兆光接口</w:t>
            </w:r>
            <w:r>
              <w:rPr>
                <w:rFonts w:hint="eastAsia"/>
                <w:sz w:val="22"/>
                <w:highlight w:val="none"/>
                <w:u w:val="single"/>
              </w:rPr>
              <w:t>；</w:t>
            </w:r>
          </w:p>
          <w:p>
            <w:pPr>
              <w:pStyle w:val="8"/>
              <w:numPr>
                <w:ilvl w:val="0"/>
                <w:numId w:val="3"/>
              </w:numPr>
              <w:spacing w:line="360" w:lineRule="exact"/>
              <w:ind w:firstLineChars="0"/>
              <w:rPr>
                <w:sz w:val="22"/>
                <w:highlight w:val="none"/>
              </w:rPr>
            </w:pPr>
            <w:r>
              <w:rPr>
                <w:rFonts w:ascii="Arial" w:hAnsi="Arial" w:cs="Arial"/>
                <w:sz w:val="22"/>
                <w:highlight w:val="none"/>
              </w:rPr>
              <w:t>▲</w:t>
            </w:r>
            <w:r>
              <w:rPr>
                <w:sz w:val="22"/>
                <w:highlight w:val="none"/>
                <w:u w:val="single"/>
              </w:rPr>
              <w:t>本次项目采用的AP必须支持802.11ac</w:t>
            </w:r>
            <w:r>
              <w:rPr>
                <w:rFonts w:hint="eastAsia"/>
                <w:sz w:val="22"/>
                <w:highlight w:val="none"/>
                <w:u w:val="single"/>
              </w:rPr>
              <w:t xml:space="preserve"> Wave2</w:t>
            </w:r>
            <w:r>
              <w:rPr>
                <w:sz w:val="22"/>
                <w:highlight w:val="none"/>
                <w:u w:val="single"/>
              </w:rPr>
              <w:t>，</w:t>
            </w:r>
            <w:r>
              <w:rPr>
                <w:rFonts w:hint="eastAsia"/>
                <w:sz w:val="22"/>
                <w:highlight w:val="none"/>
                <w:u w:val="single"/>
              </w:rPr>
              <w:t>并</w:t>
            </w:r>
            <w:r>
              <w:rPr>
                <w:sz w:val="22"/>
                <w:highlight w:val="none"/>
                <w:u w:val="single"/>
              </w:rPr>
              <w:t>能使用Wave2技术并向下兼容，无线AP之间能实现负载均衡，并支持用户在不同AP间平滑漫游，AP与POE交换机间采用超五类或者六类网线连接</w:t>
            </w:r>
            <w:r>
              <w:rPr>
                <w:rFonts w:hint="eastAsia"/>
                <w:sz w:val="22"/>
                <w:highlight w:val="none"/>
                <w:u w:val="single"/>
              </w:rPr>
              <w:t>。</w:t>
            </w:r>
            <w:r>
              <w:rPr>
                <w:sz w:val="22"/>
                <w:highlight w:val="none"/>
              </w:rPr>
              <w:t>具体参数详见表4《主要设备技术参数》</w:t>
            </w:r>
            <w:r>
              <w:rPr>
                <w:rFonts w:hint="eastAsia"/>
                <w:sz w:val="22"/>
                <w:highlight w:val="none"/>
              </w:rPr>
              <w:t>；</w:t>
            </w:r>
          </w:p>
          <w:p>
            <w:pPr>
              <w:pStyle w:val="8"/>
              <w:numPr>
                <w:ilvl w:val="0"/>
                <w:numId w:val="3"/>
              </w:numPr>
              <w:spacing w:line="360" w:lineRule="exact"/>
              <w:ind w:firstLineChars="0"/>
              <w:rPr>
                <w:sz w:val="22"/>
                <w:highlight w:val="none"/>
                <w:u w:val="single"/>
              </w:rPr>
            </w:pPr>
            <w:r>
              <w:rPr>
                <w:rFonts w:ascii="Arial" w:hAnsi="Arial" w:cs="Arial"/>
                <w:sz w:val="22"/>
                <w:highlight w:val="none"/>
              </w:rPr>
              <w:t>▲</w:t>
            </w:r>
            <w:r>
              <w:rPr>
                <w:sz w:val="22"/>
                <w:highlight w:val="none"/>
                <w:u w:val="single"/>
              </w:rPr>
              <w:t>每个覆盖场景的AP布置数量必须充分考虑无线上网用户容量及AP上行流量，当某一覆盖场景内AP的CPU负载达到70%，成交供应商需对该覆盖场景内AP进行升级或者扩容</w:t>
            </w:r>
            <w:r>
              <w:rPr>
                <w:rFonts w:hint="eastAsia"/>
                <w:sz w:val="22"/>
                <w:highlight w:val="none"/>
                <w:u w:val="single"/>
              </w:rPr>
              <w:t>；</w:t>
            </w:r>
          </w:p>
          <w:p>
            <w:pPr>
              <w:pStyle w:val="8"/>
              <w:numPr>
                <w:ilvl w:val="0"/>
                <w:numId w:val="3"/>
              </w:numPr>
              <w:spacing w:line="360" w:lineRule="exact"/>
              <w:ind w:firstLineChars="0"/>
              <w:rPr>
                <w:sz w:val="22"/>
                <w:highlight w:val="none"/>
              </w:rPr>
            </w:pPr>
            <w:r>
              <w:rPr>
                <w:rFonts w:ascii="Arial" w:hAnsi="Arial" w:cs="Arial"/>
                <w:sz w:val="22"/>
                <w:highlight w:val="none"/>
              </w:rPr>
              <w:t>▲</w:t>
            </w:r>
            <w:r>
              <w:rPr>
                <w:sz w:val="22"/>
                <w:highlight w:val="none"/>
                <w:u w:val="single"/>
              </w:rPr>
              <w:t>无线AP必须支持MultiSSID功能，</w:t>
            </w:r>
            <w:r>
              <w:rPr>
                <w:sz w:val="22"/>
                <w:highlight w:val="none"/>
              </w:rPr>
              <w:t>AP自身具备为不同SSID无线用户接入互联网络提供不同身份认证策略的功能，无线网络设计四个SSID，分别对应温州职业技术学院无线校园网（教科网）、电信、联通和移动四个不同的业务。同时无线校园网具有基于身份角色的动态策略控制机制，能够依据用户身份灵活控制每个用户的访问权限、带宽策略、连接数策略、路由策略、甚至不同的认证欢迎页面。</w:t>
            </w:r>
          </w:p>
          <w:p>
            <w:pPr>
              <w:pStyle w:val="8"/>
              <w:numPr>
                <w:ilvl w:val="0"/>
                <w:numId w:val="3"/>
              </w:numPr>
              <w:spacing w:line="360" w:lineRule="exact"/>
              <w:ind w:firstLineChars="0"/>
              <w:rPr>
                <w:sz w:val="22"/>
                <w:highlight w:val="none"/>
              </w:rPr>
            </w:pPr>
            <w:r>
              <w:rPr>
                <w:rFonts w:hint="eastAsia"/>
                <w:sz w:val="22"/>
                <w:highlight w:val="none"/>
              </w:rPr>
              <w:t>高峰时</w:t>
            </w:r>
            <w:r>
              <w:rPr>
                <w:sz w:val="22"/>
                <w:highlight w:val="none"/>
              </w:rPr>
              <w:t>用户接入带宽保障如下表：</w:t>
            </w:r>
          </w:p>
          <w:p>
            <w:pPr>
              <w:ind w:firstLine="440" w:firstLineChars="200"/>
              <w:jc w:val="center"/>
              <w:rPr>
                <w:sz w:val="22"/>
                <w:szCs w:val="22"/>
                <w:highlight w:val="none"/>
              </w:rPr>
            </w:pPr>
            <w:r>
              <w:rPr>
                <w:sz w:val="22"/>
                <w:szCs w:val="22"/>
                <w:highlight w:val="none"/>
              </w:rPr>
              <w:t>表</w:t>
            </w:r>
            <w:r>
              <w:rPr>
                <w:rFonts w:hint="eastAsia"/>
                <w:sz w:val="22"/>
                <w:szCs w:val="22"/>
                <w:highlight w:val="none"/>
              </w:rPr>
              <w:t>2</w:t>
            </w:r>
            <w:r>
              <w:rPr>
                <w:sz w:val="22"/>
                <w:szCs w:val="22"/>
                <w:highlight w:val="none"/>
              </w:rPr>
              <w:t>：</w:t>
            </w:r>
            <w:r>
              <w:rPr>
                <w:rFonts w:hint="eastAsia"/>
                <w:sz w:val="22"/>
                <w:szCs w:val="22"/>
                <w:highlight w:val="none"/>
              </w:rPr>
              <w:t>高峰时</w:t>
            </w:r>
            <w:r>
              <w:rPr>
                <w:sz w:val="22"/>
                <w:szCs w:val="22"/>
                <w:highlight w:val="none"/>
              </w:rPr>
              <w:t>用户接入带宽要求</w:t>
            </w:r>
          </w:p>
          <w:tbl>
            <w:tblPr>
              <w:tblStyle w:val="6"/>
              <w:tblW w:w="5670" w:type="dxa"/>
              <w:tblInd w:w="1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19"/>
              <w:gridCol w:w="26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9" w:type="dxa"/>
                  <w:noWrap w:val="0"/>
                  <w:vAlign w:val="top"/>
                </w:tcPr>
                <w:p>
                  <w:pPr>
                    <w:rPr>
                      <w:b/>
                      <w:sz w:val="22"/>
                      <w:szCs w:val="22"/>
                      <w:highlight w:val="none"/>
                    </w:rPr>
                  </w:pPr>
                  <w:r>
                    <w:rPr>
                      <w:b/>
                      <w:sz w:val="22"/>
                      <w:szCs w:val="22"/>
                      <w:highlight w:val="none"/>
                    </w:rPr>
                    <w:t>常见场景</w:t>
                  </w:r>
                </w:p>
              </w:tc>
              <w:tc>
                <w:tcPr>
                  <w:tcW w:w="2651" w:type="dxa"/>
                  <w:noWrap w:val="0"/>
                  <w:vAlign w:val="top"/>
                </w:tcPr>
                <w:p>
                  <w:pPr>
                    <w:rPr>
                      <w:b/>
                      <w:sz w:val="22"/>
                      <w:szCs w:val="22"/>
                      <w:highlight w:val="none"/>
                    </w:rPr>
                  </w:pPr>
                  <w:r>
                    <w:rPr>
                      <w:b/>
                      <w:sz w:val="22"/>
                      <w:szCs w:val="22"/>
                      <w:highlight w:val="none"/>
                    </w:rPr>
                    <w:t>带宽保障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9" w:type="dxa"/>
                  <w:noWrap w:val="0"/>
                  <w:vAlign w:val="top"/>
                </w:tcPr>
                <w:p>
                  <w:pPr>
                    <w:rPr>
                      <w:sz w:val="22"/>
                      <w:szCs w:val="22"/>
                      <w:highlight w:val="none"/>
                    </w:rPr>
                  </w:pPr>
                  <w:r>
                    <w:rPr>
                      <w:sz w:val="22"/>
                      <w:szCs w:val="22"/>
                      <w:highlight w:val="none"/>
                    </w:rPr>
                    <w:t>学生宿舍</w:t>
                  </w:r>
                </w:p>
              </w:tc>
              <w:tc>
                <w:tcPr>
                  <w:tcW w:w="2651" w:type="dxa"/>
                  <w:noWrap w:val="0"/>
                  <w:vAlign w:val="top"/>
                </w:tcPr>
                <w:p>
                  <w:pPr>
                    <w:rPr>
                      <w:sz w:val="22"/>
                      <w:szCs w:val="22"/>
                      <w:highlight w:val="none"/>
                    </w:rPr>
                  </w:pPr>
                  <w:r>
                    <w:rPr>
                      <w:rFonts w:hint="eastAsia"/>
                      <w:sz w:val="22"/>
                      <w:szCs w:val="22"/>
                      <w:highlight w:val="none"/>
                    </w:rPr>
                    <w:t>50M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9" w:type="dxa"/>
                  <w:noWrap w:val="0"/>
                  <w:vAlign w:val="top"/>
                </w:tcPr>
                <w:p>
                  <w:pPr>
                    <w:rPr>
                      <w:sz w:val="22"/>
                      <w:szCs w:val="22"/>
                      <w:highlight w:val="none"/>
                    </w:rPr>
                  </w:pPr>
                  <w:r>
                    <w:rPr>
                      <w:rFonts w:hint="eastAsia"/>
                      <w:sz w:val="22"/>
                      <w:szCs w:val="22"/>
                      <w:highlight w:val="none"/>
                    </w:rPr>
                    <w:t>教室、机房、实验室、</w:t>
                  </w:r>
                </w:p>
              </w:tc>
              <w:tc>
                <w:tcPr>
                  <w:tcW w:w="2651" w:type="dxa"/>
                  <w:noWrap w:val="0"/>
                  <w:vAlign w:val="top"/>
                </w:tcPr>
                <w:p>
                  <w:pPr>
                    <w:rPr>
                      <w:sz w:val="22"/>
                      <w:szCs w:val="22"/>
                      <w:highlight w:val="none"/>
                    </w:rPr>
                  </w:pPr>
                  <w:r>
                    <w:rPr>
                      <w:rFonts w:hint="eastAsia"/>
                      <w:sz w:val="22"/>
                      <w:szCs w:val="22"/>
                      <w:highlight w:val="none"/>
                    </w:rPr>
                    <w:t>50M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9" w:type="dxa"/>
                  <w:noWrap w:val="0"/>
                  <w:vAlign w:val="top"/>
                </w:tcPr>
                <w:p>
                  <w:pPr>
                    <w:rPr>
                      <w:sz w:val="22"/>
                      <w:szCs w:val="22"/>
                      <w:highlight w:val="none"/>
                    </w:rPr>
                  </w:pPr>
                  <w:r>
                    <w:rPr>
                      <w:rFonts w:hint="eastAsia"/>
                      <w:sz w:val="22"/>
                      <w:szCs w:val="22"/>
                      <w:highlight w:val="none"/>
                    </w:rPr>
                    <w:t>图书馆阅览室、报告厅</w:t>
                  </w:r>
                </w:p>
              </w:tc>
              <w:tc>
                <w:tcPr>
                  <w:tcW w:w="2651" w:type="dxa"/>
                  <w:noWrap w:val="0"/>
                  <w:vAlign w:val="top"/>
                </w:tcPr>
                <w:p>
                  <w:pPr>
                    <w:rPr>
                      <w:sz w:val="22"/>
                      <w:szCs w:val="22"/>
                      <w:highlight w:val="none"/>
                    </w:rPr>
                  </w:pPr>
                  <w:r>
                    <w:rPr>
                      <w:rFonts w:hint="eastAsia"/>
                      <w:sz w:val="22"/>
                      <w:szCs w:val="22"/>
                      <w:highlight w:val="none"/>
                    </w:rPr>
                    <w:t>30M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9" w:type="dxa"/>
                  <w:noWrap w:val="0"/>
                  <w:vAlign w:val="top"/>
                </w:tcPr>
                <w:p>
                  <w:pPr>
                    <w:rPr>
                      <w:sz w:val="22"/>
                      <w:szCs w:val="22"/>
                      <w:highlight w:val="none"/>
                    </w:rPr>
                  </w:pPr>
                  <w:r>
                    <w:rPr>
                      <w:sz w:val="22"/>
                      <w:szCs w:val="22"/>
                      <w:highlight w:val="none"/>
                    </w:rPr>
                    <w:t>办公区</w:t>
                  </w:r>
                </w:p>
              </w:tc>
              <w:tc>
                <w:tcPr>
                  <w:tcW w:w="2651" w:type="dxa"/>
                  <w:noWrap w:val="0"/>
                  <w:vAlign w:val="top"/>
                </w:tcPr>
                <w:p>
                  <w:pPr>
                    <w:rPr>
                      <w:sz w:val="22"/>
                      <w:szCs w:val="22"/>
                      <w:highlight w:val="none"/>
                    </w:rPr>
                  </w:pPr>
                  <w:r>
                    <w:rPr>
                      <w:rFonts w:hint="eastAsia"/>
                      <w:sz w:val="22"/>
                      <w:szCs w:val="22"/>
                      <w:highlight w:val="none"/>
                    </w:rPr>
                    <w:t>20M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9" w:type="dxa"/>
                  <w:noWrap w:val="0"/>
                  <w:vAlign w:val="top"/>
                </w:tcPr>
                <w:p>
                  <w:pPr>
                    <w:rPr>
                      <w:sz w:val="22"/>
                      <w:szCs w:val="22"/>
                      <w:highlight w:val="none"/>
                    </w:rPr>
                  </w:pPr>
                  <w:r>
                    <w:rPr>
                      <w:sz w:val="22"/>
                      <w:szCs w:val="22"/>
                      <w:highlight w:val="none"/>
                    </w:rPr>
                    <w:t>图书馆</w:t>
                  </w:r>
                </w:p>
              </w:tc>
              <w:tc>
                <w:tcPr>
                  <w:tcW w:w="2651" w:type="dxa"/>
                  <w:noWrap w:val="0"/>
                  <w:vAlign w:val="top"/>
                </w:tcPr>
                <w:p>
                  <w:pPr>
                    <w:rPr>
                      <w:sz w:val="22"/>
                      <w:szCs w:val="22"/>
                      <w:highlight w:val="none"/>
                    </w:rPr>
                  </w:pPr>
                  <w:r>
                    <w:rPr>
                      <w:rFonts w:hint="eastAsia"/>
                      <w:sz w:val="22"/>
                      <w:szCs w:val="22"/>
                      <w:highlight w:val="none"/>
                    </w:rPr>
                    <w:t>20M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9" w:type="dxa"/>
                  <w:noWrap w:val="0"/>
                  <w:vAlign w:val="top"/>
                </w:tcPr>
                <w:p>
                  <w:pPr>
                    <w:rPr>
                      <w:sz w:val="22"/>
                      <w:szCs w:val="22"/>
                      <w:highlight w:val="none"/>
                    </w:rPr>
                  </w:pPr>
                  <w:r>
                    <w:rPr>
                      <w:sz w:val="22"/>
                      <w:szCs w:val="22"/>
                      <w:highlight w:val="none"/>
                    </w:rPr>
                    <w:t>体育馆</w:t>
                  </w:r>
                </w:p>
              </w:tc>
              <w:tc>
                <w:tcPr>
                  <w:tcW w:w="2651" w:type="dxa"/>
                  <w:noWrap w:val="0"/>
                  <w:vAlign w:val="top"/>
                </w:tcPr>
                <w:p>
                  <w:pPr>
                    <w:rPr>
                      <w:sz w:val="22"/>
                      <w:szCs w:val="22"/>
                      <w:highlight w:val="none"/>
                    </w:rPr>
                  </w:pPr>
                  <w:r>
                    <w:rPr>
                      <w:rFonts w:hint="eastAsia"/>
                      <w:sz w:val="22"/>
                      <w:szCs w:val="22"/>
                      <w:highlight w:val="none"/>
                    </w:rPr>
                    <w:t>20M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9" w:type="dxa"/>
                  <w:noWrap w:val="0"/>
                  <w:vAlign w:val="top"/>
                </w:tcPr>
                <w:p>
                  <w:pPr>
                    <w:rPr>
                      <w:sz w:val="22"/>
                      <w:szCs w:val="22"/>
                      <w:highlight w:val="none"/>
                    </w:rPr>
                  </w:pPr>
                  <w:r>
                    <w:rPr>
                      <w:sz w:val="22"/>
                      <w:szCs w:val="22"/>
                      <w:highlight w:val="none"/>
                    </w:rPr>
                    <w:t>会议室</w:t>
                  </w:r>
                </w:p>
              </w:tc>
              <w:tc>
                <w:tcPr>
                  <w:tcW w:w="2651" w:type="dxa"/>
                  <w:noWrap w:val="0"/>
                  <w:vAlign w:val="top"/>
                </w:tcPr>
                <w:p>
                  <w:pPr>
                    <w:rPr>
                      <w:sz w:val="22"/>
                      <w:szCs w:val="22"/>
                      <w:highlight w:val="none"/>
                    </w:rPr>
                  </w:pPr>
                  <w:r>
                    <w:rPr>
                      <w:rFonts w:hint="eastAsia"/>
                      <w:sz w:val="22"/>
                      <w:szCs w:val="22"/>
                      <w:highlight w:val="none"/>
                    </w:rPr>
                    <w:t>20M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9" w:type="dxa"/>
                  <w:noWrap w:val="0"/>
                  <w:vAlign w:val="top"/>
                </w:tcPr>
                <w:p>
                  <w:pPr>
                    <w:rPr>
                      <w:sz w:val="22"/>
                      <w:szCs w:val="22"/>
                      <w:highlight w:val="none"/>
                    </w:rPr>
                  </w:pPr>
                  <w:r>
                    <w:rPr>
                      <w:sz w:val="22"/>
                      <w:szCs w:val="22"/>
                      <w:highlight w:val="none"/>
                    </w:rPr>
                    <w:t>食堂</w:t>
                  </w:r>
                </w:p>
              </w:tc>
              <w:tc>
                <w:tcPr>
                  <w:tcW w:w="2651" w:type="dxa"/>
                  <w:noWrap w:val="0"/>
                  <w:vAlign w:val="top"/>
                </w:tcPr>
                <w:p>
                  <w:pPr>
                    <w:rPr>
                      <w:sz w:val="22"/>
                      <w:szCs w:val="22"/>
                      <w:highlight w:val="none"/>
                    </w:rPr>
                  </w:pPr>
                  <w:r>
                    <w:rPr>
                      <w:rFonts w:hint="eastAsia"/>
                      <w:sz w:val="22"/>
                      <w:szCs w:val="22"/>
                      <w:highlight w:val="none"/>
                    </w:rPr>
                    <w:t>20M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3019" w:type="dxa"/>
                  <w:noWrap w:val="0"/>
                  <w:vAlign w:val="top"/>
                </w:tcPr>
                <w:p>
                  <w:pPr>
                    <w:rPr>
                      <w:sz w:val="22"/>
                      <w:szCs w:val="22"/>
                      <w:highlight w:val="none"/>
                    </w:rPr>
                  </w:pPr>
                  <w:r>
                    <w:rPr>
                      <w:rFonts w:hint="eastAsia"/>
                      <w:sz w:val="22"/>
                      <w:szCs w:val="22"/>
                      <w:highlight w:val="none"/>
                    </w:rPr>
                    <w:t>田径场、</w:t>
                  </w:r>
                  <w:r>
                    <w:rPr>
                      <w:sz w:val="22"/>
                      <w:szCs w:val="22"/>
                      <w:highlight w:val="none"/>
                    </w:rPr>
                    <w:t>室外绿地</w:t>
                  </w:r>
                </w:p>
              </w:tc>
              <w:tc>
                <w:tcPr>
                  <w:tcW w:w="2651" w:type="dxa"/>
                  <w:noWrap w:val="0"/>
                  <w:vAlign w:val="top"/>
                </w:tcPr>
                <w:p>
                  <w:pPr>
                    <w:rPr>
                      <w:sz w:val="22"/>
                      <w:szCs w:val="22"/>
                      <w:highlight w:val="none"/>
                    </w:rPr>
                  </w:pPr>
                  <w:r>
                    <w:rPr>
                      <w:rFonts w:hint="eastAsia"/>
                      <w:sz w:val="22"/>
                      <w:szCs w:val="22"/>
                      <w:highlight w:val="none"/>
                    </w:rPr>
                    <w:t>10M</w:t>
                  </w:r>
                </w:p>
              </w:tc>
            </w:tr>
          </w:tbl>
          <w:p>
            <w:pPr>
              <w:spacing w:before="120" w:beforeLines="50" w:after="120" w:afterLines="50"/>
              <w:ind w:firstLine="442" w:firstLineChars="200"/>
              <w:rPr>
                <w:b/>
                <w:sz w:val="22"/>
                <w:szCs w:val="22"/>
                <w:highlight w:val="none"/>
              </w:rPr>
            </w:pPr>
            <w:r>
              <w:rPr>
                <w:b/>
                <w:sz w:val="22"/>
                <w:szCs w:val="22"/>
                <w:highlight w:val="none"/>
              </w:rPr>
              <w:t>3</w:t>
            </w:r>
            <w:r>
              <w:rPr>
                <w:rFonts w:hint="eastAsia"/>
                <w:b/>
                <w:sz w:val="22"/>
                <w:szCs w:val="22"/>
                <w:highlight w:val="none"/>
              </w:rPr>
              <w:t>）</w:t>
            </w:r>
            <w:r>
              <w:rPr>
                <w:b/>
                <w:sz w:val="22"/>
                <w:szCs w:val="22"/>
                <w:highlight w:val="none"/>
              </w:rPr>
              <w:t>网络准入和安全控制</w:t>
            </w:r>
          </w:p>
          <w:p>
            <w:pPr>
              <w:pStyle w:val="8"/>
              <w:numPr>
                <w:ilvl w:val="0"/>
                <w:numId w:val="4"/>
              </w:numPr>
              <w:spacing w:line="360" w:lineRule="exact"/>
              <w:ind w:firstLineChars="0"/>
              <w:rPr>
                <w:sz w:val="22"/>
                <w:highlight w:val="none"/>
              </w:rPr>
            </w:pPr>
            <w:r>
              <w:rPr>
                <w:sz w:val="22"/>
                <w:highlight w:val="none"/>
              </w:rPr>
              <w:t>准入要求：有线无线网络都应采用同一个账号实现统一的认证,没有认证或认证不成功的用户无法进入网络</w:t>
            </w:r>
            <w:r>
              <w:rPr>
                <w:rFonts w:hint="eastAsia"/>
                <w:sz w:val="22"/>
                <w:highlight w:val="none"/>
              </w:rPr>
              <w:t>；</w:t>
            </w:r>
          </w:p>
          <w:p>
            <w:pPr>
              <w:pStyle w:val="8"/>
              <w:numPr>
                <w:ilvl w:val="0"/>
                <w:numId w:val="4"/>
              </w:numPr>
              <w:spacing w:line="360" w:lineRule="exact"/>
              <w:ind w:firstLineChars="0"/>
              <w:rPr>
                <w:sz w:val="22"/>
                <w:highlight w:val="none"/>
              </w:rPr>
            </w:pPr>
            <w:r>
              <w:rPr>
                <w:sz w:val="22"/>
                <w:highlight w:val="none"/>
              </w:rPr>
              <w:t>用户认证授权与访问控制要求：可以根据用户的角色控制用户的上网区域、访问策略、带宽策略、并发连接数和上网时间访问策略等，并支持灵活、可定制的认证策略，能够基于认证方式、认证时间、认证地点、用户身份、账号属性、终端类型、健康状态等多重因素及其组合进行身份认证和策略决策</w:t>
            </w:r>
            <w:r>
              <w:rPr>
                <w:rFonts w:hint="eastAsia"/>
                <w:sz w:val="22"/>
                <w:highlight w:val="none"/>
              </w:rPr>
              <w:t>；</w:t>
            </w:r>
          </w:p>
          <w:p>
            <w:pPr>
              <w:pStyle w:val="8"/>
              <w:numPr>
                <w:ilvl w:val="0"/>
                <w:numId w:val="4"/>
              </w:numPr>
              <w:spacing w:line="360" w:lineRule="exact"/>
              <w:ind w:firstLineChars="0"/>
              <w:rPr>
                <w:sz w:val="22"/>
                <w:highlight w:val="none"/>
              </w:rPr>
            </w:pPr>
            <w:r>
              <w:rPr>
                <w:rFonts w:ascii="Arial" w:hAnsi="Arial" w:cs="Arial"/>
                <w:sz w:val="22"/>
                <w:highlight w:val="none"/>
              </w:rPr>
              <w:t>▲</w:t>
            </w:r>
            <w:r>
              <w:rPr>
                <w:sz w:val="22"/>
                <w:highlight w:val="none"/>
                <w:u w:val="single"/>
              </w:rPr>
              <w:t>防代理要求：校园有线、无线网络均需具备网络防代理功能，且支持和识别当前主流的认证方式（如Web认证、PPPOE认证和802.1x认证等）和代理方式（如NAT代理、随身WIFI代理和软件代理等），其误判率不得超过10%</w:t>
            </w:r>
            <w:r>
              <w:rPr>
                <w:rFonts w:hint="eastAsia"/>
                <w:sz w:val="22"/>
                <w:highlight w:val="none"/>
                <w:u w:val="single"/>
              </w:rPr>
              <w:t>；</w:t>
            </w:r>
          </w:p>
          <w:p>
            <w:pPr>
              <w:pStyle w:val="8"/>
              <w:numPr>
                <w:ilvl w:val="0"/>
                <w:numId w:val="4"/>
              </w:numPr>
              <w:spacing w:line="360" w:lineRule="exact"/>
              <w:ind w:firstLineChars="0"/>
              <w:rPr>
                <w:sz w:val="22"/>
                <w:highlight w:val="none"/>
              </w:rPr>
            </w:pPr>
            <w:r>
              <w:rPr>
                <w:rFonts w:ascii="Arial" w:hAnsi="Arial" w:cs="Arial"/>
                <w:sz w:val="22"/>
                <w:highlight w:val="none"/>
              </w:rPr>
              <w:t>▲</w:t>
            </w:r>
            <w:r>
              <w:rPr>
                <w:sz w:val="22"/>
                <w:highlight w:val="none"/>
                <w:u w:val="single"/>
              </w:rPr>
              <w:t>无线信号屏蔽控制：支持无线屏蔽，可通过设置上网时段策略及开启无线屏蔽功能来防止学生上课上网和考场作弊</w:t>
            </w:r>
            <w:r>
              <w:rPr>
                <w:rFonts w:hint="eastAsia"/>
                <w:sz w:val="22"/>
                <w:highlight w:val="none"/>
                <w:u w:val="single"/>
              </w:rPr>
              <w:t>；</w:t>
            </w:r>
          </w:p>
          <w:p>
            <w:pPr>
              <w:pStyle w:val="8"/>
              <w:numPr>
                <w:ilvl w:val="0"/>
                <w:numId w:val="4"/>
              </w:numPr>
              <w:spacing w:line="360" w:lineRule="exact"/>
              <w:ind w:firstLineChars="0"/>
              <w:rPr>
                <w:sz w:val="22"/>
                <w:highlight w:val="none"/>
              </w:rPr>
            </w:pPr>
            <w:r>
              <w:rPr>
                <w:sz w:val="22"/>
                <w:highlight w:val="none"/>
              </w:rPr>
              <w:t>无线网络整体安全性：支持二层以上无线入侵检测，可以检测多种无线入侵，支持频谱分析能力，可视化各类无线干扰，通过FFT视图，FFTDutyCycle视图等检测各类对频段的干扰。可以设置自动保护SSID或者终端策略，自动压制非法AP，如：设置了同样SSID的欺诈AP。三层上可以提供智能黑名单功能，即可以针对已发现的网络攻击进行自动黑名单匹配，保护整个网络不受蠕虫类病毒攻击，能够自动切断感染蠕虫病毒客户端的无线连接。可以防御ARP等类似攻击，如ARP非法代理，DoS攻击，IP地址欺骗等。</w:t>
            </w:r>
          </w:p>
          <w:p>
            <w:pPr>
              <w:spacing w:before="120" w:beforeLines="50" w:after="120" w:afterLines="50"/>
              <w:ind w:firstLine="442" w:firstLineChars="200"/>
              <w:rPr>
                <w:b/>
                <w:sz w:val="22"/>
                <w:szCs w:val="22"/>
                <w:highlight w:val="none"/>
              </w:rPr>
            </w:pPr>
            <w:r>
              <w:rPr>
                <w:b/>
                <w:sz w:val="22"/>
                <w:szCs w:val="22"/>
                <w:highlight w:val="none"/>
              </w:rPr>
              <w:t>4</w:t>
            </w:r>
            <w:r>
              <w:rPr>
                <w:rFonts w:hint="eastAsia"/>
                <w:b/>
                <w:sz w:val="22"/>
                <w:szCs w:val="22"/>
                <w:highlight w:val="none"/>
              </w:rPr>
              <w:t>）</w:t>
            </w:r>
            <w:r>
              <w:rPr>
                <w:b/>
                <w:sz w:val="22"/>
                <w:szCs w:val="22"/>
                <w:highlight w:val="none"/>
              </w:rPr>
              <w:t>IT运维管理</w:t>
            </w:r>
          </w:p>
          <w:p>
            <w:pPr>
              <w:spacing w:line="360" w:lineRule="exact"/>
              <w:ind w:firstLine="440" w:firstLineChars="200"/>
              <w:rPr>
                <w:sz w:val="22"/>
                <w:szCs w:val="22"/>
                <w:highlight w:val="none"/>
              </w:rPr>
            </w:pPr>
            <w:r>
              <w:rPr>
                <w:sz w:val="22"/>
                <w:szCs w:val="22"/>
                <w:highlight w:val="none"/>
              </w:rPr>
              <w:t>无线网络是架构在有线网络上的上层网络，网络的复杂性大大增加，基于此针对运维管理平台要求：是一款跨平台、跨厂商、跨地域的综合管理系统，支持多种数据采集方式，支持有线/无线网络设备、安全设备、服务器、数据库、中间件、虚拟化设备、存储设备、机房系统、应用系统等多厂商、多种类的资源监控，并且提供开放的接口，用户可以自行编制监控脚本，完成相应资源的监控。</w:t>
            </w:r>
          </w:p>
          <w:p>
            <w:pPr>
              <w:pStyle w:val="8"/>
              <w:numPr>
                <w:ilvl w:val="0"/>
                <w:numId w:val="5"/>
              </w:numPr>
              <w:spacing w:line="360" w:lineRule="exact"/>
              <w:ind w:left="1259" w:firstLineChars="0"/>
              <w:rPr>
                <w:sz w:val="22"/>
                <w:highlight w:val="none"/>
              </w:rPr>
            </w:pPr>
            <w:r>
              <w:rPr>
                <w:sz w:val="22"/>
                <w:highlight w:val="none"/>
              </w:rPr>
              <w:t>无线有线一体化管理：对于温州职业技术学院现网中所有网络设备进行一体化集中管理，全网设备信息和状态一目了然。网络资源通过多种视图进行查看，视图内分组管理，将规模巨大的接入设备有效组织，便于管理员维护</w:t>
            </w:r>
            <w:r>
              <w:rPr>
                <w:rFonts w:hint="eastAsia"/>
                <w:sz w:val="22"/>
                <w:highlight w:val="none"/>
              </w:rPr>
              <w:t>；</w:t>
            </w:r>
          </w:p>
          <w:p>
            <w:pPr>
              <w:pStyle w:val="8"/>
              <w:numPr>
                <w:ilvl w:val="0"/>
                <w:numId w:val="5"/>
              </w:numPr>
              <w:spacing w:line="360" w:lineRule="exact"/>
              <w:ind w:left="1259" w:firstLineChars="0"/>
              <w:rPr>
                <w:sz w:val="22"/>
                <w:highlight w:val="none"/>
              </w:rPr>
            </w:pPr>
            <w:r>
              <w:rPr>
                <w:rFonts w:ascii="Arial" w:hAnsi="Arial" w:cs="Arial"/>
                <w:sz w:val="22"/>
                <w:highlight w:val="none"/>
              </w:rPr>
              <w:t>▲</w:t>
            </w:r>
            <w:r>
              <w:rPr>
                <w:sz w:val="22"/>
                <w:highlight w:val="none"/>
                <w:u w:val="single"/>
              </w:rPr>
              <w:t>实现全校的无线校园网覆盖后，后续的运维管理要求有相应的无线管理和网优平台，来帮助我校管理员更便捷高效地分析无线网设备的使用状况、频段利用状况、用户的使用体验等，最关键的是，此平台必须与公共数据库进行数据交换，要帮助学校进行相关数据发掘和业务分析，真正实现智能化的无线智慧校园</w:t>
            </w:r>
            <w:r>
              <w:rPr>
                <w:rFonts w:hint="eastAsia"/>
                <w:sz w:val="22"/>
                <w:highlight w:val="none"/>
                <w:u w:val="single"/>
              </w:rPr>
              <w:t>；</w:t>
            </w:r>
          </w:p>
          <w:p>
            <w:pPr>
              <w:pStyle w:val="8"/>
              <w:numPr>
                <w:ilvl w:val="0"/>
                <w:numId w:val="5"/>
              </w:numPr>
              <w:spacing w:line="360" w:lineRule="exact"/>
              <w:ind w:left="1259" w:firstLineChars="0"/>
              <w:rPr>
                <w:sz w:val="22"/>
                <w:highlight w:val="none"/>
              </w:rPr>
            </w:pPr>
            <w:r>
              <w:rPr>
                <w:rFonts w:ascii="Arial" w:hAnsi="Arial" w:cs="Arial"/>
                <w:sz w:val="22"/>
                <w:highlight w:val="none"/>
              </w:rPr>
              <w:t>▲</w:t>
            </w:r>
            <w:r>
              <w:rPr>
                <w:sz w:val="22"/>
                <w:highlight w:val="none"/>
                <w:u w:val="single"/>
              </w:rPr>
              <w:t>无线终端定位和漫游记录审计：可以直接在拓扑图中对移动终端的信息进行查看，并能查看各移动终端的全部漫游记录，使管理员随时了解最终接入用户的情况，并对其接入轨迹进行审计</w:t>
            </w:r>
            <w:r>
              <w:rPr>
                <w:rFonts w:hint="eastAsia"/>
                <w:sz w:val="22"/>
                <w:highlight w:val="none"/>
                <w:u w:val="single"/>
              </w:rPr>
              <w:t>；</w:t>
            </w:r>
          </w:p>
          <w:p>
            <w:pPr>
              <w:pStyle w:val="8"/>
              <w:numPr>
                <w:ilvl w:val="0"/>
                <w:numId w:val="5"/>
              </w:numPr>
              <w:spacing w:line="360" w:lineRule="exact"/>
              <w:ind w:left="1259" w:firstLineChars="0"/>
              <w:rPr>
                <w:sz w:val="22"/>
                <w:highlight w:val="none"/>
              </w:rPr>
            </w:pPr>
            <w:r>
              <w:rPr>
                <w:sz w:val="22"/>
                <w:highlight w:val="none"/>
              </w:rPr>
              <w:t>丰富的无线统计报表：从网络各种性能指标、告警指标中进行智能的统计和分析，并提供丰富的统计报表查询和定制功能，以帮助管理员对网络进行综合全面的管理</w:t>
            </w:r>
            <w:r>
              <w:rPr>
                <w:rFonts w:hint="eastAsia"/>
                <w:sz w:val="22"/>
                <w:highlight w:val="none"/>
              </w:rPr>
              <w:t>；</w:t>
            </w:r>
          </w:p>
          <w:p>
            <w:pPr>
              <w:pStyle w:val="8"/>
              <w:numPr>
                <w:ilvl w:val="0"/>
                <w:numId w:val="5"/>
              </w:numPr>
              <w:spacing w:line="360" w:lineRule="exact"/>
              <w:ind w:left="1259" w:firstLineChars="0"/>
              <w:rPr>
                <w:sz w:val="22"/>
                <w:highlight w:val="none"/>
              </w:rPr>
            </w:pPr>
            <w:r>
              <w:rPr>
                <w:rFonts w:ascii="Arial" w:hAnsi="Arial" w:cs="Arial"/>
                <w:sz w:val="22"/>
                <w:highlight w:val="none"/>
              </w:rPr>
              <w:t>▲</w:t>
            </w:r>
            <w:r>
              <w:rPr>
                <w:sz w:val="22"/>
                <w:highlight w:val="none"/>
                <w:u w:val="single"/>
              </w:rPr>
              <w:t>多厂商产品的管理/分析/问题定位：要求提供的网管软件需要支持多厂商产品，应对现有温州职业技术学院的有线交换机与此次项目中提供的无线产品提供整体网管，对将来无线网络的用户可以达到从终端---无线环境---无线AP---有线交换机---无线控制器的端到端的问题分析定位与排查。</w:t>
            </w:r>
          </w:p>
          <w:p>
            <w:pPr>
              <w:spacing w:before="120" w:beforeLines="50" w:after="120" w:afterLines="50"/>
              <w:ind w:firstLine="442" w:firstLineChars="200"/>
              <w:rPr>
                <w:b/>
                <w:sz w:val="22"/>
                <w:szCs w:val="22"/>
                <w:highlight w:val="none"/>
              </w:rPr>
            </w:pPr>
            <w:r>
              <w:rPr>
                <w:b/>
                <w:sz w:val="22"/>
                <w:szCs w:val="22"/>
                <w:highlight w:val="none"/>
              </w:rPr>
              <w:t>5</w:t>
            </w:r>
            <w:r>
              <w:rPr>
                <w:rFonts w:hint="eastAsia"/>
                <w:b/>
                <w:sz w:val="22"/>
                <w:szCs w:val="22"/>
                <w:highlight w:val="none"/>
              </w:rPr>
              <w:t>）</w:t>
            </w:r>
            <w:r>
              <w:rPr>
                <w:b/>
                <w:sz w:val="22"/>
                <w:szCs w:val="22"/>
                <w:highlight w:val="none"/>
              </w:rPr>
              <w:t>综合展示窗口</w:t>
            </w:r>
          </w:p>
          <w:p>
            <w:pPr>
              <w:spacing w:line="360" w:lineRule="exact"/>
              <w:ind w:left="420" w:leftChars="200" w:firstLine="440" w:firstLineChars="200"/>
              <w:rPr>
                <w:sz w:val="22"/>
                <w:szCs w:val="22"/>
                <w:highlight w:val="none"/>
              </w:rPr>
            </w:pPr>
            <w:r>
              <w:rPr>
                <w:sz w:val="22"/>
                <w:szCs w:val="22"/>
                <w:highlight w:val="none"/>
              </w:rPr>
              <w:t>建成本项目所包含的网络情况展示、IT运维管理和上网数据分析等可视化的综合展示窗口。</w:t>
            </w:r>
          </w:p>
          <w:p>
            <w:pPr>
              <w:pStyle w:val="8"/>
              <w:numPr>
                <w:ilvl w:val="0"/>
                <w:numId w:val="6"/>
              </w:numPr>
              <w:spacing w:line="360" w:lineRule="exact"/>
              <w:ind w:firstLineChars="0"/>
              <w:rPr>
                <w:sz w:val="22"/>
                <w:highlight w:val="none"/>
              </w:rPr>
            </w:pPr>
            <w:r>
              <w:rPr>
                <w:sz w:val="22"/>
                <w:highlight w:val="none"/>
              </w:rPr>
              <w:t>提供用户无线上网数据分析的展示窗口，对全网用户情况进行可视化展示，能针对常时用户、高峰用户、高峰流量给出显示；</w:t>
            </w:r>
          </w:p>
          <w:p>
            <w:pPr>
              <w:pStyle w:val="8"/>
              <w:numPr>
                <w:ilvl w:val="0"/>
                <w:numId w:val="6"/>
              </w:numPr>
              <w:spacing w:line="360" w:lineRule="exact"/>
              <w:ind w:firstLineChars="0"/>
              <w:rPr>
                <w:sz w:val="22"/>
                <w:highlight w:val="none"/>
              </w:rPr>
            </w:pPr>
            <w:r>
              <w:rPr>
                <w:sz w:val="22"/>
                <w:highlight w:val="none"/>
              </w:rPr>
              <w:t>可分子区域显示无线用户对网络依赖程度；流量依赖程度，以及综合依赖程度；</w:t>
            </w:r>
          </w:p>
          <w:p>
            <w:pPr>
              <w:pStyle w:val="8"/>
              <w:numPr>
                <w:ilvl w:val="0"/>
                <w:numId w:val="6"/>
              </w:numPr>
              <w:spacing w:line="360" w:lineRule="exact"/>
              <w:ind w:firstLineChars="0"/>
              <w:rPr>
                <w:sz w:val="22"/>
                <w:highlight w:val="none"/>
              </w:rPr>
            </w:pPr>
            <w:r>
              <w:rPr>
                <w:rFonts w:ascii="Arial" w:hAnsi="Arial" w:cs="Arial"/>
                <w:sz w:val="22"/>
                <w:highlight w:val="none"/>
              </w:rPr>
              <w:t>▲</w:t>
            </w:r>
            <w:r>
              <w:rPr>
                <w:sz w:val="22"/>
                <w:highlight w:val="none"/>
                <w:u w:val="single"/>
              </w:rPr>
              <w:t>提供无线体验的度量值可视化窗口：空口平均丢包率、空口平均延时、空口评估应用体验值；</w:t>
            </w:r>
          </w:p>
          <w:p>
            <w:pPr>
              <w:pStyle w:val="8"/>
              <w:numPr>
                <w:ilvl w:val="0"/>
                <w:numId w:val="6"/>
              </w:numPr>
              <w:spacing w:line="360" w:lineRule="exact"/>
              <w:ind w:firstLineChars="0"/>
              <w:rPr>
                <w:sz w:val="22"/>
                <w:highlight w:val="none"/>
              </w:rPr>
            </w:pPr>
            <w:r>
              <w:rPr>
                <w:rFonts w:ascii="Arial" w:hAnsi="Arial" w:cs="Arial"/>
                <w:sz w:val="22"/>
                <w:highlight w:val="none"/>
              </w:rPr>
              <w:t>▲</w:t>
            </w:r>
            <w:r>
              <w:rPr>
                <w:sz w:val="22"/>
                <w:highlight w:val="none"/>
                <w:u w:val="single"/>
              </w:rPr>
              <w:t>提供全网无线信号覆盖的综合展示窗口，可给出全网信号状况的直观可视化显示；</w:t>
            </w:r>
          </w:p>
          <w:p>
            <w:pPr>
              <w:pStyle w:val="8"/>
              <w:numPr>
                <w:ilvl w:val="0"/>
                <w:numId w:val="6"/>
              </w:numPr>
              <w:spacing w:line="360" w:lineRule="exact"/>
              <w:ind w:firstLineChars="0"/>
              <w:rPr>
                <w:sz w:val="22"/>
                <w:highlight w:val="none"/>
              </w:rPr>
            </w:pPr>
            <w:r>
              <w:rPr>
                <w:sz w:val="22"/>
                <w:highlight w:val="none"/>
              </w:rPr>
              <w:t>可给出终端所在频段显示，终端类型分布、终端操作系统分布、终端所在网络分布、终端厂商分布；</w:t>
            </w:r>
          </w:p>
          <w:p>
            <w:pPr>
              <w:pStyle w:val="8"/>
              <w:numPr>
                <w:ilvl w:val="0"/>
                <w:numId w:val="6"/>
              </w:numPr>
              <w:spacing w:line="360" w:lineRule="exact"/>
              <w:ind w:firstLineChars="0"/>
              <w:rPr>
                <w:sz w:val="22"/>
                <w:highlight w:val="none"/>
              </w:rPr>
            </w:pPr>
            <w:r>
              <w:rPr>
                <w:sz w:val="22"/>
                <w:highlight w:val="none"/>
              </w:rPr>
              <w:t>可对无线网络进行问题识别，可对引起网络变差的原因进行分析；分析算法必须基于整个网络而非单个设备或者射频分析；</w:t>
            </w:r>
          </w:p>
          <w:p>
            <w:pPr>
              <w:pStyle w:val="8"/>
              <w:numPr>
                <w:ilvl w:val="0"/>
                <w:numId w:val="6"/>
              </w:numPr>
              <w:spacing w:line="360" w:lineRule="exact"/>
              <w:ind w:firstLineChars="0"/>
              <w:rPr>
                <w:sz w:val="22"/>
                <w:highlight w:val="none"/>
              </w:rPr>
            </w:pPr>
            <w:r>
              <w:rPr>
                <w:sz w:val="22"/>
                <w:highlight w:val="none"/>
              </w:rPr>
              <w:t>可分析无线体验问题，体验算法根据用户吞吐、时延、丢包、重传、高速报文占比、低速报文占比、当前信道状况等因子评估当前用户精准体验；</w:t>
            </w:r>
          </w:p>
          <w:p>
            <w:pPr>
              <w:pStyle w:val="8"/>
              <w:numPr>
                <w:ilvl w:val="0"/>
                <w:numId w:val="6"/>
              </w:numPr>
              <w:spacing w:line="360" w:lineRule="exact"/>
              <w:ind w:firstLineChars="0"/>
              <w:rPr>
                <w:sz w:val="22"/>
                <w:highlight w:val="none"/>
              </w:rPr>
            </w:pPr>
            <w:r>
              <w:rPr>
                <w:rFonts w:ascii="Arial" w:hAnsi="Arial" w:cs="Arial"/>
                <w:sz w:val="22"/>
                <w:highlight w:val="none"/>
              </w:rPr>
              <w:t>▲</w:t>
            </w:r>
            <w:r>
              <w:rPr>
                <w:sz w:val="22"/>
                <w:highlight w:val="none"/>
                <w:u w:val="single"/>
              </w:rPr>
              <w:t>提供无线IT运维的综合展示窗口，可直观体现无线网络中的干扰问题，直接给出应用策略和策略效果</w:t>
            </w:r>
            <w:r>
              <w:rPr>
                <w:rFonts w:hint="eastAsia"/>
                <w:sz w:val="22"/>
                <w:highlight w:val="none"/>
                <w:u w:val="single"/>
              </w:rPr>
              <w:t>。</w:t>
            </w:r>
          </w:p>
          <w:p>
            <w:pPr>
              <w:spacing w:before="120" w:beforeLines="50" w:after="120" w:afterLines="50"/>
              <w:ind w:firstLine="442" w:firstLineChars="200"/>
              <w:rPr>
                <w:b/>
                <w:sz w:val="22"/>
                <w:szCs w:val="22"/>
                <w:highlight w:val="none"/>
              </w:rPr>
            </w:pPr>
            <w:r>
              <w:rPr>
                <w:b/>
                <w:sz w:val="22"/>
                <w:szCs w:val="22"/>
                <w:highlight w:val="none"/>
              </w:rPr>
              <w:t>6</w:t>
            </w:r>
            <w:r>
              <w:rPr>
                <w:rFonts w:hint="eastAsia"/>
                <w:b/>
                <w:sz w:val="22"/>
                <w:szCs w:val="22"/>
                <w:highlight w:val="none"/>
              </w:rPr>
              <w:t>）</w:t>
            </w:r>
            <w:r>
              <w:rPr>
                <w:b/>
                <w:sz w:val="22"/>
                <w:szCs w:val="22"/>
                <w:highlight w:val="none"/>
              </w:rPr>
              <w:t>服务体系建设</w:t>
            </w:r>
          </w:p>
          <w:p>
            <w:pPr>
              <w:spacing w:line="360" w:lineRule="exact"/>
              <w:ind w:left="420" w:leftChars="200" w:firstLine="440" w:firstLineChars="200"/>
              <w:rPr>
                <w:sz w:val="22"/>
                <w:szCs w:val="22"/>
                <w:highlight w:val="none"/>
              </w:rPr>
            </w:pPr>
            <w:r>
              <w:rPr>
                <w:sz w:val="22"/>
                <w:szCs w:val="22"/>
                <w:highlight w:val="none"/>
              </w:rPr>
              <w:t>构建完善的服务体系统包括远程服务平台、自助服务平台、现场服务制度和故障响应机制等。其中包括：</w:t>
            </w:r>
          </w:p>
          <w:p>
            <w:pPr>
              <w:pStyle w:val="8"/>
              <w:numPr>
                <w:ilvl w:val="0"/>
                <w:numId w:val="7"/>
              </w:numPr>
              <w:spacing w:line="360" w:lineRule="exact"/>
              <w:ind w:firstLineChars="0"/>
              <w:rPr>
                <w:sz w:val="22"/>
                <w:highlight w:val="none"/>
              </w:rPr>
            </w:pPr>
            <w:r>
              <w:rPr>
                <w:sz w:val="22"/>
                <w:highlight w:val="none"/>
              </w:rPr>
              <w:t>协助采购人制定服务体系的服务支持原则和总体要求，确定服务响应方式和响应时间，规范服务流程</w:t>
            </w:r>
            <w:r>
              <w:rPr>
                <w:rFonts w:hint="eastAsia"/>
                <w:sz w:val="22"/>
                <w:highlight w:val="none"/>
              </w:rPr>
              <w:t>；</w:t>
            </w:r>
          </w:p>
          <w:p>
            <w:pPr>
              <w:pStyle w:val="8"/>
              <w:numPr>
                <w:ilvl w:val="0"/>
                <w:numId w:val="7"/>
              </w:numPr>
              <w:spacing w:line="360" w:lineRule="exact"/>
              <w:ind w:firstLineChars="0"/>
              <w:rPr>
                <w:sz w:val="22"/>
                <w:highlight w:val="none"/>
              </w:rPr>
            </w:pPr>
            <w:r>
              <w:rPr>
                <w:sz w:val="22"/>
                <w:highlight w:val="none"/>
              </w:rPr>
              <w:t>协助采购人建立信息管理和信息服务的相关制度</w:t>
            </w:r>
            <w:r>
              <w:rPr>
                <w:rFonts w:hint="eastAsia"/>
                <w:sz w:val="22"/>
                <w:highlight w:val="none"/>
              </w:rPr>
              <w:t>；</w:t>
            </w:r>
          </w:p>
          <w:p>
            <w:pPr>
              <w:pStyle w:val="8"/>
              <w:numPr>
                <w:ilvl w:val="0"/>
                <w:numId w:val="7"/>
              </w:numPr>
              <w:spacing w:line="360" w:lineRule="exact"/>
              <w:ind w:firstLineChars="0"/>
              <w:rPr>
                <w:sz w:val="22"/>
                <w:highlight w:val="none"/>
              </w:rPr>
            </w:pPr>
            <w:r>
              <w:rPr>
                <w:sz w:val="22"/>
                <w:highlight w:val="none"/>
              </w:rPr>
              <w:t>根据故障影响度和故障紧急度确定故障定级标准（紧急、高优先级、中优先级和低优先级故障），并制定相关的故障处理流程</w:t>
            </w:r>
            <w:r>
              <w:rPr>
                <w:rFonts w:hint="eastAsia"/>
                <w:sz w:val="22"/>
                <w:highlight w:val="none"/>
              </w:rPr>
              <w:t>。</w:t>
            </w:r>
          </w:p>
          <w:p>
            <w:pPr>
              <w:spacing w:before="120" w:beforeLines="50" w:after="120" w:afterLines="50"/>
              <w:ind w:firstLine="442" w:firstLineChars="200"/>
              <w:rPr>
                <w:b/>
                <w:sz w:val="22"/>
                <w:szCs w:val="22"/>
                <w:highlight w:val="none"/>
              </w:rPr>
            </w:pPr>
            <w:r>
              <w:rPr>
                <w:b/>
                <w:sz w:val="22"/>
                <w:szCs w:val="22"/>
                <w:highlight w:val="none"/>
              </w:rPr>
              <w:t>7</w:t>
            </w:r>
            <w:r>
              <w:rPr>
                <w:rFonts w:hint="eastAsia"/>
                <w:b/>
                <w:sz w:val="22"/>
                <w:szCs w:val="22"/>
                <w:highlight w:val="none"/>
              </w:rPr>
              <w:t>）</w:t>
            </w:r>
            <w:r>
              <w:rPr>
                <w:b/>
                <w:sz w:val="22"/>
                <w:szCs w:val="22"/>
                <w:highlight w:val="none"/>
              </w:rPr>
              <w:t>主要设备技术参数</w:t>
            </w:r>
          </w:p>
          <w:tbl>
            <w:tblPr>
              <w:tblStyle w:val="6"/>
              <w:tblW w:w="8237" w:type="dxa"/>
              <w:tblInd w:w="93" w:type="dxa"/>
              <w:tblLayout w:type="fixed"/>
              <w:tblCellMar>
                <w:top w:w="0" w:type="dxa"/>
                <w:left w:w="28" w:type="dxa"/>
                <w:bottom w:w="0" w:type="dxa"/>
                <w:right w:w="28" w:type="dxa"/>
              </w:tblCellMar>
            </w:tblPr>
            <w:tblGrid>
              <w:gridCol w:w="495"/>
              <w:gridCol w:w="783"/>
              <w:gridCol w:w="6298"/>
              <w:gridCol w:w="661"/>
            </w:tblGrid>
            <w:tr>
              <w:tblPrEx>
                <w:tblLayout w:type="fixed"/>
                <w:tblCellMar>
                  <w:top w:w="0" w:type="dxa"/>
                  <w:left w:w="28" w:type="dxa"/>
                  <w:bottom w:w="0" w:type="dxa"/>
                  <w:right w:w="28" w:type="dxa"/>
                </w:tblCellMar>
              </w:tblPrEx>
              <w:trPr>
                <w:trHeight w:val="689" w:hRule="atLeast"/>
              </w:trPr>
              <w:tc>
                <w:tcPr>
                  <w:tcW w:w="495" w:type="dxa"/>
                  <w:tcBorders>
                    <w:top w:val="single" w:color="auto" w:sz="8" w:space="0"/>
                    <w:left w:val="single" w:color="000000" w:sz="4" w:space="0"/>
                    <w:right w:val="single" w:color="000000" w:sz="4" w:space="0"/>
                  </w:tcBorders>
                  <w:shd w:val="clear" w:color="000000" w:fill="C0C0C0"/>
                  <w:noWrap w:val="0"/>
                  <w:vAlign w:val="center"/>
                </w:tcPr>
                <w:p>
                  <w:pPr>
                    <w:jc w:val="center"/>
                    <w:rPr>
                      <w:rFonts w:ascii="宋体" w:hAnsi="宋体" w:cs="宋体"/>
                      <w:b/>
                      <w:bCs/>
                      <w:kern w:val="0"/>
                      <w:sz w:val="22"/>
                      <w:szCs w:val="22"/>
                      <w:highlight w:val="none"/>
                    </w:rPr>
                  </w:pPr>
                  <w:r>
                    <w:rPr>
                      <w:rFonts w:hint="eastAsia" w:ascii="宋体" w:hAnsi="宋体" w:cs="宋体"/>
                      <w:b/>
                      <w:bCs/>
                      <w:kern w:val="0"/>
                      <w:sz w:val="22"/>
                      <w:szCs w:val="22"/>
                      <w:highlight w:val="none"/>
                    </w:rPr>
                    <w:t>序号</w:t>
                  </w:r>
                </w:p>
              </w:tc>
              <w:tc>
                <w:tcPr>
                  <w:tcW w:w="783" w:type="dxa"/>
                  <w:tcBorders>
                    <w:top w:val="single" w:color="auto" w:sz="8" w:space="0"/>
                    <w:left w:val="single" w:color="000000" w:sz="4" w:space="0"/>
                    <w:bottom w:val="single" w:color="000000" w:sz="4" w:space="0"/>
                    <w:right w:val="single" w:color="000000" w:sz="4" w:space="0"/>
                  </w:tcBorders>
                  <w:shd w:val="clear" w:color="000000" w:fill="C0C0C0"/>
                  <w:noWrap/>
                  <w:vAlign w:val="center"/>
                </w:tcPr>
                <w:p>
                  <w:pPr>
                    <w:jc w:val="center"/>
                    <w:rPr>
                      <w:rFonts w:ascii="宋体" w:hAnsi="宋体" w:cs="宋体"/>
                      <w:b/>
                      <w:bCs/>
                      <w:kern w:val="0"/>
                      <w:sz w:val="22"/>
                      <w:szCs w:val="22"/>
                      <w:highlight w:val="none"/>
                    </w:rPr>
                  </w:pPr>
                  <w:r>
                    <w:rPr>
                      <w:rFonts w:hint="eastAsia"/>
                      <w:b/>
                      <w:sz w:val="22"/>
                      <w:szCs w:val="22"/>
                      <w:highlight w:val="none"/>
                    </w:rPr>
                    <w:t>名称</w:t>
                  </w:r>
                </w:p>
              </w:tc>
              <w:tc>
                <w:tcPr>
                  <w:tcW w:w="6298" w:type="dxa"/>
                  <w:tcBorders>
                    <w:top w:val="single" w:color="auto" w:sz="8" w:space="0"/>
                    <w:left w:val="single" w:color="000000" w:sz="4" w:space="0"/>
                    <w:bottom w:val="single" w:color="000000" w:sz="4" w:space="0"/>
                    <w:right w:val="single" w:color="000000" w:sz="4" w:space="0"/>
                  </w:tcBorders>
                  <w:shd w:val="clear" w:color="000000" w:fill="C0C0C0"/>
                  <w:noWrap/>
                  <w:vAlign w:val="center"/>
                </w:tcPr>
                <w:p>
                  <w:pPr>
                    <w:jc w:val="center"/>
                    <w:rPr>
                      <w:rFonts w:ascii="宋体" w:hAnsi="宋体" w:cs="宋体"/>
                      <w:b/>
                      <w:bCs/>
                      <w:kern w:val="0"/>
                      <w:sz w:val="22"/>
                      <w:szCs w:val="22"/>
                      <w:highlight w:val="none"/>
                    </w:rPr>
                  </w:pPr>
                  <w:r>
                    <w:rPr>
                      <w:b/>
                      <w:sz w:val="22"/>
                      <w:szCs w:val="22"/>
                      <w:highlight w:val="none"/>
                    </w:rPr>
                    <w:t>主要技术参数及性能（配置）要求</w:t>
                  </w:r>
                  <w:r>
                    <w:rPr>
                      <w:rFonts w:hint="eastAsia"/>
                      <w:b/>
                      <w:sz w:val="22"/>
                      <w:szCs w:val="22"/>
                      <w:highlight w:val="none"/>
                    </w:rPr>
                    <w:t>（）</w:t>
                  </w:r>
                </w:p>
              </w:tc>
              <w:tc>
                <w:tcPr>
                  <w:tcW w:w="661" w:type="dxa"/>
                  <w:tcBorders>
                    <w:top w:val="single" w:color="auto" w:sz="8" w:space="0"/>
                    <w:left w:val="single" w:color="000000" w:sz="4" w:space="0"/>
                    <w:bottom w:val="single" w:color="000000" w:sz="4" w:space="0"/>
                    <w:right w:val="single" w:color="000000" w:sz="4" w:space="0"/>
                  </w:tcBorders>
                  <w:shd w:val="clear" w:color="000000" w:fill="C0C0C0"/>
                  <w:noWrap/>
                  <w:vAlign w:val="center"/>
                </w:tcPr>
                <w:p>
                  <w:pPr>
                    <w:jc w:val="center"/>
                    <w:rPr>
                      <w:rFonts w:ascii="宋体" w:hAnsi="宋体" w:cs="宋体"/>
                      <w:b/>
                      <w:bCs/>
                      <w:kern w:val="0"/>
                      <w:sz w:val="22"/>
                      <w:szCs w:val="22"/>
                      <w:highlight w:val="none"/>
                    </w:rPr>
                  </w:pPr>
                  <w:r>
                    <w:rPr>
                      <w:rFonts w:hint="eastAsia" w:ascii="宋体" w:hAnsi="宋体" w:cs="宋体"/>
                      <w:b/>
                      <w:bCs/>
                      <w:kern w:val="0"/>
                      <w:sz w:val="22"/>
                      <w:szCs w:val="22"/>
                      <w:highlight w:val="none"/>
                    </w:rPr>
                    <w:t>参考数量（以实际数量为准）</w:t>
                  </w:r>
                </w:p>
              </w:tc>
            </w:tr>
            <w:tr>
              <w:tblPrEx>
                <w:tblLayout w:type="fixed"/>
                <w:tblCellMar>
                  <w:top w:w="0" w:type="dxa"/>
                  <w:left w:w="28" w:type="dxa"/>
                  <w:bottom w:w="0" w:type="dxa"/>
                  <w:right w:w="28" w:type="dxa"/>
                </w:tblCellMar>
              </w:tblPrEx>
              <w:trPr>
                <w:trHeight w:val="416" w:hRule="atLeast"/>
              </w:trPr>
              <w:tc>
                <w:tcPr>
                  <w:tcW w:w="495" w:type="dxa"/>
                  <w:tcBorders>
                    <w:top w:val="single" w:color="000000" w:sz="4" w:space="0"/>
                    <w:left w:val="single" w:color="000000" w:sz="4" w:space="0"/>
                    <w:bottom w:val="single" w:color="auto" w:sz="8" w:space="0"/>
                    <w:right w:val="single" w:color="000000" w:sz="4" w:space="0"/>
                  </w:tcBorders>
                  <w:noWrap w:val="0"/>
                  <w:vAlign w:val="center"/>
                </w:tcPr>
                <w:p>
                  <w:pPr>
                    <w:jc w:val="center"/>
                    <w:rPr>
                      <w:rFonts w:ascii="Arial" w:hAnsi="Arial" w:cs="Arial"/>
                      <w:b/>
                      <w:bCs/>
                      <w:kern w:val="0"/>
                      <w:sz w:val="22"/>
                      <w:szCs w:val="22"/>
                      <w:highlight w:val="none"/>
                    </w:rPr>
                  </w:pPr>
                  <w:r>
                    <w:rPr>
                      <w:rFonts w:hint="eastAsia" w:ascii="Arial" w:hAnsi="Arial" w:cs="Arial"/>
                      <w:b/>
                      <w:bCs/>
                      <w:kern w:val="0"/>
                      <w:sz w:val="22"/>
                      <w:szCs w:val="22"/>
                      <w:highlight w:val="none"/>
                    </w:rPr>
                    <w:t>1</w:t>
                  </w:r>
                </w:p>
              </w:tc>
              <w:tc>
                <w:tcPr>
                  <w:tcW w:w="783" w:type="dxa"/>
                  <w:tcBorders>
                    <w:top w:val="single" w:color="000000" w:sz="4" w:space="0"/>
                    <w:left w:val="single" w:color="000000" w:sz="4" w:space="0"/>
                    <w:bottom w:val="single" w:color="auto" w:sz="8" w:space="0"/>
                    <w:right w:val="single" w:color="000000" w:sz="4" w:space="0"/>
                  </w:tcBorders>
                  <w:noWrap/>
                  <w:vAlign w:val="center"/>
                </w:tcPr>
                <w:p>
                  <w:pPr>
                    <w:jc w:val="center"/>
                    <w:rPr>
                      <w:rFonts w:ascii="Arial" w:hAnsi="Arial" w:cs="Arial"/>
                      <w:b/>
                      <w:bCs/>
                      <w:kern w:val="0"/>
                      <w:sz w:val="22"/>
                      <w:szCs w:val="22"/>
                      <w:highlight w:val="none"/>
                    </w:rPr>
                  </w:pPr>
                  <w:r>
                    <w:rPr>
                      <w:rFonts w:ascii="Arial" w:hAnsi="Arial" w:cs="Arial"/>
                      <w:b/>
                      <w:bCs/>
                      <w:kern w:val="0"/>
                      <w:sz w:val="22"/>
                      <w:szCs w:val="22"/>
                      <w:highlight w:val="none"/>
                    </w:rPr>
                    <w:t>BRAS路由器</w:t>
                  </w:r>
                </w:p>
              </w:tc>
              <w:tc>
                <w:tcPr>
                  <w:tcW w:w="6298" w:type="dxa"/>
                  <w:tcBorders>
                    <w:top w:val="nil"/>
                    <w:left w:val="nil"/>
                    <w:bottom w:val="single" w:color="auto" w:sz="8" w:space="0"/>
                    <w:right w:val="single" w:color="000000" w:sz="4" w:space="0"/>
                  </w:tcBorders>
                  <w:noWrap/>
                  <w:vAlign w:val="bottom"/>
                </w:tcPr>
                <w:p>
                  <w:pPr>
                    <w:adjustRightInd w:val="0"/>
                    <w:snapToGrid w:val="0"/>
                    <w:spacing w:line="240" w:lineRule="exact"/>
                    <w:jc w:val="left"/>
                    <w:rPr>
                      <w:rFonts w:ascii="Arial" w:hAnsi="Arial" w:cs="Arial"/>
                      <w:kern w:val="0"/>
                      <w:sz w:val="22"/>
                      <w:szCs w:val="22"/>
                      <w:highlight w:val="none"/>
                    </w:rPr>
                  </w:pPr>
                  <w:r>
                    <w:rPr>
                      <w:rFonts w:hint="eastAsia" w:ascii="Arial" w:hAnsi="Arial" w:cs="Arial"/>
                      <w:kern w:val="0"/>
                      <w:sz w:val="22"/>
                      <w:szCs w:val="22"/>
                      <w:highlight w:val="none"/>
                    </w:rPr>
                    <w:t>支持交换网板≥4个；交换容量≥119T；包转发率≥24000M；整机框全物理尺寸的线卡槽位数≥8（非子卡槽位），不含主控、交换网板槽位；支持子母卡架构，母卡和子卡均支持热插拔；设备支持单槽单向最大带宽≥400Gbps；支持内置交流电源；电源个数≥4个，电源系统支持N+M冗余，支持一体化供电方式；支持分布式Netstream功能；支持将两台物理设备虚拟化为一台逻辑设备，虚拟组内可以实现一致的转发表项，统一的管理，跨物理设备的链路聚合；设备支持Openflow协议，报文可依据流表进行转发；设备支持EVPN/VxLAN（RFC 7348）功能，能够完成MAC地址远端学习，实现基于VxLAN的二三层VPN；设备支持防攻击能力，包括：ARP攻击、IPv6报文攻击、超大Trace报文攻击、TCP SYN flood、Ping flood、DHCP DDOS、PADI DDOS的防御等；支持OSPF、OSPFv3、ISIS、ISISv6、BGP、BGP4+的MD5认证功能，支持Keychain功能，可以支持基于时间段的生效的秘钥；为方便设备运维管理，设备需内置TCL语言功能，能够解析执行TCL语言脚本，设备需内置Python语言功能，能够解析执行Python语言脚本；为实现设备精细化管理，实现不同进程动态部署到不同的CPU上，设备需支持进程分布式优化功能；</w:t>
                  </w:r>
                </w:p>
                <w:p>
                  <w:pPr>
                    <w:adjustRightInd w:val="0"/>
                    <w:snapToGrid w:val="0"/>
                    <w:spacing w:line="240" w:lineRule="exact"/>
                    <w:jc w:val="left"/>
                    <w:rPr>
                      <w:rFonts w:ascii="Arial" w:hAnsi="Arial" w:cs="Arial"/>
                      <w:kern w:val="0"/>
                      <w:sz w:val="22"/>
                      <w:szCs w:val="22"/>
                      <w:highlight w:val="none"/>
                    </w:rPr>
                  </w:pPr>
                  <w:r>
                    <w:rPr>
                      <w:rFonts w:hint="eastAsia" w:ascii="Arial" w:hAnsi="Arial" w:cs="Arial"/>
                      <w:kern w:val="0"/>
                      <w:sz w:val="22"/>
                      <w:szCs w:val="22"/>
                      <w:highlight w:val="none"/>
                    </w:rPr>
                    <w:t>主控槽≥2，业务板槽位≥16，线卡板槽位≥4，交换网板≥4，单台设备双主控，双电源，两块独立交换网板，16口千兆以太网光口</w:t>
                  </w:r>
                  <w:r>
                    <w:rPr>
                      <w:rFonts w:ascii="Arial" w:hAnsi="Arial" w:cs="Arial"/>
                      <w:kern w:val="0"/>
                      <w:sz w:val="22"/>
                      <w:szCs w:val="22"/>
                      <w:highlight w:val="none"/>
                    </w:rPr>
                    <w:t>，</w:t>
                  </w:r>
                  <w:r>
                    <w:rPr>
                      <w:rFonts w:hint="eastAsia" w:ascii="Arial" w:hAnsi="Arial" w:cs="Arial"/>
                      <w:kern w:val="0"/>
                      <w:sz w:val="22"/>
                      <w:szCs w:val="22"/>
                      <w:highlight w:val="none"/>
                    </w:rPr>
                    <w:t>8端口千兆C</w:t>
                  </w:r>
                  <w:r>
                    <w:rPr>
                      <w:rFonts w:ascii="Arial" w:hAnsi="Arial" w:cs="Arial"/>
                      <w:kern w:val="0"/>
                      <w:sz w:val="22"/>
                      <w:szCs w:val="22"/>
                      <w:highlight w:val="none"/>
                    </w:rPr>
                    <w:t>ombo口</w:t>
                  </w:r>
                  <w:r>
                    <w:rPr>
                      <w:rFonts w:hint="eastAsia" w:ascii="Arial" w:hAnsi="Arial" w:cs="Arial"/>
                      <w:kern w:val="0"/>
                      <w:sz w:val="22"/>
                      <w:szCs w:val="22"/>
                      <w:highlight w:val="none"/>
                    </w:rPr>
                    <w:t>，</w:t>
                  </w:r>
                  <w:r>
                    <w:rPr>
                      <w:rFonts w:ascii="Arial" w:hAnsi="Arial" w:cs="Arial"/>
                      <w:kern w:val="0"/>
                      <w:sz w:val="22"/>
                      <w:szCs w:val="22"/>
                      <w:highlight w:val="none"/>
                    </w:rPr>
                    <w:t>6</w:t>
                  </w:r>
                  <w:r>
                    <w:rPr>
                      <w:rFonts w:hint="eastAsia" w:ascii="Arial" w:hAnsi="Arial" w:cs="Arial"/>
                      <w:kern w:val="0"/>
                      <w:sz w:val="22"/>
                      <w:szCs w:val="22"/>
                      <w:highlight w:val="none"/>
                    </w:rPr>
                    <w:t>端口</w:t>
                  </w:r>
                  <w:r>
                    <w:rPr>
                      <w:rFonts w:ascii="Arial" w:hAnsi="Arial" w:cs="Arial"/>
                      <w:kern w:val="0"/>
                      <w:sz w:val="22"/>
                      <w:szCs w:val="22"/>
                      <w:highlight w:val="none"/>
                    </w:rPr>
                    <w:t>万兆光口</w:t>
                  </w:r>
                  <w:r>
                    <w:rPr>
                      <w:rFonts w:hint="eastAsia" w:ascii="Arial" w:hAnsi="Arial" w:cs="Arial"/>
                      <w:kern w:val="0"/>
                      <w:sz w:val="22"/>
                      <w:szCs w:val="22"/>
                      <w:highlight w:val="none"/>
                    </w:rPr>
                    <w:t>，1根堆叠线缆（5m）,满配万块万兆多模模块。</w:t>
                  </w:r>
                </w:p>
              </w:tc>
              <w:tc>
                <w:tcPr>
                  <w:tcW w:w="661" w:type="dxa"/>
                  <w:tcBorders>
                    <w:top w:val="nil"/>
                    <w:left w:val="nil"/>
                    <w:bottom w:val="single" w:color="auto" w:sz="8" w:space="0"/>
                    <w:right w:val="single" w:color="000000" w:sz="4" w:space="0"/>
                  </w:tcBorders>
                  <w:noWrap/>
                  <w:vAlign w:val="center"/>
                </w:tcPr>
                <w:p>
                  <w:pPr>
                    <w:jc w:val="center"/>
                    <w:rPr>
                      <w:rFonts w:ascii="Arial" w:hAnsi="Arial" w:cs="Arial"/>
                      <w:b/>
                      <w:bCs/>
                      <w:kern w:val="0"/>
                      <w:sz w:val="22"/>
                      <w:szCs w:val="22"/>
                      <w:highlight w:val="none"/>
                    </w:rPr>
                  </w:pPr>
                  <w:r>
                    <w:rPr>
                      <w:rFonts w:ascii="Arial" w:hAnsi="Arial" w:cs="Arial"/>
                      <w:b/>
                      <w:bCs/>
                      <w:kern w:val="0"/>
                      <w:sz w:val="22"/>
                      <w:szCs w:val="22"/>
                      <w:highlight w:val="none"/>
                    </w:rPr>
                    <w:t>2</w:t>
                  </w:r>
                </w:p>
              </w:tc>
            </w:tr>
            <w:tr>
              <w:tblPrEx>
                <w:tblLayout w:type="fixed"/>
                <w:tblCellMar>
                  <w:top w:w="0" w:type="dxa"/>
                  <w:left w:w="28" w:type="dxa"/>
                  <w:bottom w:w="0" w:type="dxa"/>
                  <w:right w:w="28" w:type="dxa"/>
                </w:tblCellMar>
              </w:tblPrEx>
              <w:trPr>
                <w:trHeight w:val="406" w:hRule="atLeast"/>
              </w:trPr>
              <w:tc>
                <w:tcPr>
                  <w:tcW w:w="495" w:type="dxa"/>
                  <w:tcBorders>
                    <w:top w:val="single" w:color="auto" w:sz="8" w:space="0"/>
                    <w:left w:val="single" w:color="000000" w:sz="4" w:space="0"/>
                    <w:bottom w:val="single" w:color="auto" w:sz="8" w:space="0"/>
                    <w:right w:val="single" w:color="000000" w:sz="4" w:space="0"/>
                  </w:tcBorders>
                  <w:noWrap w:val="0"/>
                  <w:vAlign w:val="center"/>
                </w:tcPr>
                <w:p>
                  <w:pPr>
                    <w:jc w:val="center"/>
                    <w:rPr>
                      <w:rFonts w:ascii="Arial" w:hAnsi="Arial" w:cs="Arial"/>
                      <w:b/>
                      <w:bCs/>
                      <w:kern w:val="0"/>
                      <w:sz w:val="22"/>
                      <w:szCs w:val="22"/>
                      <w:highlight w:val="none"/>
                    </w:rPr>
                  </w:pPr>
                  <w:r>
                    <w:rPr>
                      <w:rFonts w:hint="eastAsia" w:ascii="Arial" w:hAnsi="Arial" w:cs="Arial"/>
                      <w:b/>
                      <w:bCs/>
                      <w:kern w:val="0"/>
                      <w:sz w:val="22"/>
                      <w:szCs w:val="22"/>
                      <w:highlight w:val="none"/>
                    </w:rPr>
                    <w:t>2</w:t>
                  </w:r>
                </w:p>
              </w:tc>
              <w:tc>
                <w:tcPr>
                  <w:tcW w:w="783" w:type="dxa"/>
                  <w:tcBorders>
                    <w:top w:val="single" w:color="auto" w:sz="8" w:space="0"/>
                    <w:left w:val="single" w:color="000000" w:sz="4" w:space="0"/>
                    <w:bottom w:val="single" w:color="auto" w:sz="8" w:space="0"/>
                    <w:right w:val="single" w:color="000000" w:sz="4" w:space="0"/>
                  </w:tcBorders>
                  <w:noWrap/>
                  <w:vAlign w:val="center"/>
                </w:tcPr>
                <w:p>
                  <w:pPr>
                    <w:jc w:val="center"/>
                    <w:rPr>
                      <w:rFonts w:ascii="Arial" w:hAnsi="Arial" w:cs="Arial"/>
                      <w:kern w:val="0"/>
                      <w:sz w:val="22"/>
                      <w:szCs w:val="22"/>
                      <w:highlight w:val="none"/>
                    </w:rPr>
                  </w:pPr>
                  <w:r>
                    <w:rPr>
                      <w:rFonts w:ascii="Arial" w:hAnsi="Arial" w:cs="Arial"/>
                      <w:b/>
                      <w:bCs/>
                      <w:kern w:val="0"/>
                      <w:sz w:val="22"/>
                      <w:szCs w:val="22"/>
                      <w:highlight w:val="none"/>
                    </w:rPr>
                    <w:t>核心交换机</w:t>
                  </w:r>
                </w:p>
              </w:tc>
              <w:tc>
                <w:tcPr>
                  <w:tcW w:w="6298" w:type="dxa"/>
                  <w:tcBorders>
                    <w:top w:val="single" w:color="auto" w:sz="8" w:space="0"/>
                    <w:left w:val="nil"/>
                    <w:bottom w:val="single" w:color="auto" w:sz="8" w:space="0"/>
                    <w:right w:val="single" w:color="000000" w:sz="4" w:space="0"/>
                  </w:tcBorders>
                  <w:noWrap/>
                  <w:vAlign w:val="top"/>
                </w:tcPr>
                <w:p>
                  <w:pPr>
                    <w:adjustRightInd w:val="0"/>
                    <w:snapToGrid w:val="0"/>
                    <w:spacing w:line="240" w:lineRule="exact"/>
                    <w:jc w:val="left"/>
                    <w:rPr>
                      <w:rFonts w:ascii="Arial" w:hAnsi="Arial" w:cs="Arial"/>
                      <w:kern w:val="0"/>
                      <w:sz w:val="22"/>
                      <w:szCs w:val="22"/>
                      <w:highlight w:val="none"/>
                    </w:rPr>
                  </w:pPr>
                  <w:r>
                    <w:rPr>
                      <w:rFonts w:hint="eastAsia" w:ascii="宋体" w:hAnsi="宋体" w:cs="宋体"/>
                      <w:color w:val="000000"/>
                      <w:kern w:val="0"/>
                      <w:sz w:val="22"/>
                      <w:szCs w:val="22"/>
                      <w:highlight w:val="none"/>
                    </w:rPr>
                    <w:t>支持多级多平面CLOS+交换架构，交换网板与主控板硬件槽位分离；完全正交设计，跨线卡业务流量通过正交连接器直接上交换网板，背板走线降低为零，提供官网截图；采用紧凑型机框设计以达到更高的机房空间利用率，节约空间成本。整机交换容量≥255T，包转发≥67300Mpps；业务插槽数≥10；支持独立的安全业务插卡包含防火墙、负载均衡、应用控制器、IPS、SSL VPN；单台设备（双主控，双交换网板（满配），48个千兆电口，40个千兆光口，32个万兆光口，交换电源≥4，1根虚拟化线缆（5m）,实配Vxlan</w:t>
                  </w:r>
                </w:p>
              </w:tc>
              <w:tc>
                <w:tcPr>
                  <w:tcW w:w="661" w:type="dxa"/>
                  <w:tcBorders>
                    <w:top w:val="single" w:color="auto" w:sz="8" w:space="0"/>
                    <w:left w:val="nil"/>
                    <w:bottom w:val="single" w:color="auto" w:sz="8" w:space="0"/>
                    <w:right w:val="single" w:color="000000" w:sz="4" w:space="0"/>
                  </w:tcBorders>
                  <w:noWrap/>
                  <w:vAlign w:val="center"/>
                </w:tcPr>
                <w:p>
                  <w:pPr>
                    <w:jc w:val="center"/>
                    <w:rPr>
                      <w:rFonts w:ascii="Arial" w:hAnsi="Arial" w:cs="Arial"/>
                      <w:kern w:val="0"/>
                      <w:sz w:val="22"/>
                      <w:szCs w:val="22"/>
                      <w:highlight w:val="none"/>
                    </w:rPr>
                  </w:pPr>
                  <w:r>
                    <w:rPr>
                      <w:rFonts w:hint="eastAsia" w:ascii="Arial" w:hAnsi="Arial" w:cs="Arial"/>
                      <w:kern w:val="0"/>
                      <w:sz w:val="22"/>
                      <w:szCs w:val="22"/>
                      <w:highlight w:val="none"/>
                    </w:rPr>
                    <w:t>2</w:t>
                  </w:r>
                </w:p>
              </w:tc>
            </w:tr>
            <w:tr>
              <w:tblPrEx>
                <w:tblLayout w:type="fixed"/>
                <w:tblCellMar>
                  <w:top w:w="0" w:type="dxa"/>
                  <w:left w:w="28" w:type="dxa"/>
                  <w:bottom w:w="0" w:type="dxa"/>
                  <w:right w:w="28" w:type="dxa"/>
                </w:tblCellMar>
              </w:tblPrEx>
              <w:trPr>
                <w:trHeight w:val="890" w:hRule="atLeast"/>
              </w:trPr>
              <w:tc>
                <w:tcPr>
                  <w:tcW w:w="495" w:type="dxa"/>
                  <w:tcBorders>
                    <w:top w:val="single" w:color="auto" w:sz="8" w:space="0"/>
                    <w:left w:val="single" w:color="000000" w:sz="4" w:space="0"/>
                    <w:bottom w:val="single" w:color="auto" w:sz="8" w:space="0"/>
                    <w:right w:val="single" w:color="000000" w:sz="4" w:space="0"/>
                  </w:tcBorders>
                  <w:noWrap w:val="0"/>
                  <w:vAlign w:val="center"/>
                </w:tcPr>
                <w:p>
                  <w:pPr>
                    <w:jc w:val="center"/>
                    <w:rPr>
                      <w:rFonts w:ascii="Arial" w:hAnsi="Arial" w:cs="Arial"/>
                      <w:b/>
                      <w:bCs/>
                      <w:kern w:val="0"/>
                      <w:sz w:val="22"/>
                      <w:szCs w:val="22"/>
                      <w:highlight w:val="none"/>
                    </w:rPr>
                  </w:pPr>
                  <w:r>
                    <w:rPr>
                      <w:rFonts w:hint="eastAsia" w:ascii="Arial" w:hAnsi="Arial" w:cs="Arial"/>
                      <w:b/>
                      <w:bCs/>
                      <w:kern w:val="0"/>
                      <w:sz w:val="22"/>
                      <w:szCs w:val="22"/>
                      <w:highlight w:val="none"/>
                    </w:rPr>
                    <w:t>3</w:t>
                  </w:r>
                </w:p>
              </w:tc>
              <w:tc>
                <w:tcPr>
                  <w:tcW w:w="783" w:type="dxa"/>
                  <w:tcBorders>
                    <w:top w:val="single" w:color="auto" w:sz="8" w:space="0"/>
                    <w:left w:val="single" w:color="000000" w:sz="4" w:space="0"/>
                    <w:bottom w:val="single" w:color="auto" w:sz="8" w:space="0"/>
                    <w:right w:val="single" w:color="000000" w:sz="4" w:space="0"/>
                  </w:tcBorders>
                  <w:noWrap/>
                  <w:vAlign w:val="center"/>
                </w:tcPr>
                <w:p>
                  <w:pPr>
                    <w:jc w:val="center"/>
                    <w:rPr>
                      <w:rFonts w:ascii="Arial" w:hAnsi="Arial" w:cs="Arial"/>
                      <w:b/>
                      <w:bCs/>
                      <w:kern w:val="0"/>
                      <w:sz w:val="22"/>
                      <w:szCs w:val="22"/>
                      <w:highlight w:val="none"/>
                    </w:rPr>
                  </w:pPr>
                  <w:r>
                    <w:rPr>
                      <w:rFonts w:hint="eastAsia" w:ascii="Arial" w:hAnsi="Arial" w:cs="Arial"/>
                      <w:b/>
                      <w:bCs/>
                      <w:kern w:val="0"/>
                      <w:sz w:val="22"/>
                      <w:szCs w:val="22"/>
                      <w:highlight w:val="none"/>
                    </w:rPr>
                    <w:t>无线控制器</w:t>
                  </w:r>
                </w:p>
              </w:tc>
              <w:tc>
                <w:tcPr>
                  <w:tcW w:w="6298" w:type="dxa"/>
                  <w:tcBorders>
                    <w:top w:val="single" w:color="auto" w:sz="8" w:space="0"/>
                    <w:left w:val="nil"/>
                    <w:bottom w:val="single" w:color="auto" w:sz="8" w:space="0"/>
                    <w:right w:val="single" w:color="000000" w:sz="4" w:space="0"/>
                  </w:tcBorders>
                  <w:noWrap/>
                  <w:vAlign w:val="top"/>
                </w:tcPr>
                <w:p>
                  <w:pPr>
                    <w:adjustRightInd w:val="0"/>
                    <w:snapToGrid w:val="0"/>
                    <w:spacing w:line="240" w:lineRule="exac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整机吞吐量≥100G，单台实配8个千兆电口，12个万兆光口，4个40G接口，最大管理AP数6144。</w:t>
                  </w:r>
                </w:p>
              </w:tc>
              <w:tc>
                <w:tcPr>
                  <w:tcW w:w="661" w:type="dxa"/>
                  <w:tcBorders>
                    <w:top w:val="single" w:color="auto" w:sz="8" w:space="0"/>
                    <w:left w:val="nil"/>
                    <w:bottom w:val="single" w:color="auto" w:sz="8" w:space="0"/>
                    <w:right w:val="single" w:color="000000" w:sz="4" w:space="0"/>
                  </w:tcBorders>
                  <w:noWrap/>
                  <w:vAlign w:val="center"/>
                </w:tcPr>
                <w:p>
                  <w:pPr>
                    <w:jc w:val="center"/>
                    <w:rPr>
                      <w:rFonts w:ascii="Arial" w:hAnsi="Arial" w:cs="Arial"/>
                      <w:kern w:val="0"/>
                      <w:sz w:val="22"/>
                      <w:szCs w:val="22"/>
                      <w:highlight w:val="none"/>
                    </w:rPr>
                  </w:pPr>
                  <w:r>
                    <w:rPr>
                      <w:rFonts w:hint="eastAsia" w:ascii="Arial" w:hAnsi="Arial" w:cs="Arial"/>
                      <w:kern w:val="0"/>
                      <w:sz w:val="22"/>
                      <w:szCs w:val="22"/>
                      <w:highlight w:val="none"/>
                    </w:rPr>
                    <w:t>2</w:t>
                  </w:r>
                </w:p>
              </w:tc>
            </w:tr>
            <w:tr>
              <w:tblPrEx>
                <w:tblLayout w:type="fixed"/>
                <w:tblCellMar>
                  <w:top w:w="0" w:type="dxa"/>
                  <w:left w:w="28" w:type="dxa"/>
                  <w:bottom w:w="0" w:type="dxa"/>
                  <w:right w:w="28" w:type="dxa"/>
                </w:tblCellMar>
              </w:tblPrEx>
              <w:trPr>
                <w:trHeight w:val="1125" w:hRule="atLeast"/>
              </w:trPr>
              <w:tc>
                <w:tcPr>
                  <w:tcW w:w="495" w:type="dxa"/>
                  <w:tcBorders>
                    <w:top w:val="single" w:color="auto" w:sz="8" w:space="0"/>
                    <w:left w:val="single" w:color="000000" w:sz="4" w:space="0"/>
                    <w:bottom w:val="single" w:color="auto" w:sz="8" w:space="0"/>
                    <w:right w:val="single" w:color="000000" w:sz="4" w:space="0"/>
                  </w:tcBorders>
                  <w:noWrap w:val="0"/>
                  <w:vAlign w:val="center"/>
                </w:tcPr>
                <w:p>
                  <w:pPr>
                    <w:jc w:val="center"/>
                    <w:rPr>
                      <w:rFonts w:ascii="Arial" w:hAnsi="Arial" w:cs="Arial"/>
                      <w:b/>
                      <w:bCs/>
                      <w:kern w:val="0"/>
                      <w:sz w:val="22"/>
                      <w:szCs w:val="22"/>
                      <w:highlight w:val="none"/>
                    </w:rPr>
                  </w:pPr>
                  <w:r>
                    <w:rPr>
                      <w:rFonts w:hint="eastAsia" w:ascii="Arial" w:hAnsi="Arial" w:cs="Arial"/>
                      <w:b/>
                      <w:bCs/>
                      <w:kern w:val="0"/>
                      <w:sz w:val="22"/>
                      <w:szCs w:val="22"/>
                      <w:highlight w:val="none"/>
                    </w:rPr>
                    <w:t>4</w:t>
                  </w:r>
                </w:p>
              </w:tc>
              <w:tc>
                <w:tcPr>
                  <w:tcW w:w="783" w:type="dxa"/>
                  <w:tcBorders>
                    <w:top w:val="single" w:color="auto" w:sz="8" w:space="0"/>
                    <w:left w:val="single" w:color="000000" w:sz="4" w:space="0"/>
                    <w:bottom w:val="single" w:color="auto" w:sz="8" w:space="0"/>
                    <w:right w:val="single" w:color="000000" w:sz="4" w:space="0"/>
                  </w:tcBorders>
                  <w:noWrap/>
                  <w:vAlign w:val="center"/>
                </w:tcPr>
                <w:p>
                  <w:pPr>
                    <w:jc w:val="center"/>
                    <w:rPr>
                      <w:rFonts w:ascii="Arial" w:hAnsi="Arial" w:cs="Arial"/>
                      <w:b/>
                      <w:bCs/>
                      <w:kern w:val="0"/>
                      <w:sz w:val="22"/>
                      <w:szCs w:val="22"/>
                      <w:highlight w:val="none"/>
                    </w:rPr>
                  </w:pPr>
                  <w:r>
                    <w:rPr>
                      <w:rFonts w:ascii="Arial" w:hAnsi="Arial" w:cs="Arial"/>
                      <w:b/>
                      <w:bCs/>
                      <w:kern w:val="0"/>
                      <w:sz w:val="22"/>
                      <w:szCs w:val="22"/>
                      <w:highlight w:val="none"/>
                    </w:rPr>
                    <w:t>防火墙</w:t>
                  </w:r>
                </w:p>
              </w:tc>
              <w:tc>
                <w:tcPr>
                  <w:tcW w:w="6298" w:type="dxa"/>
                  <w:tcBorders>
                    <w:top w:val="single" w:color="auto" w:sz="8" w:space="0"/>
                    <w:left w:val="nil"/>
                    <w:bottom w:val="single" w:color="auto" w:sz="8" w:space="0"/>
                    <w:right w:val="single" w:color="000000" w:sz="4" w:space="0"/>
                  </w:tcBorders>
                  <w:noWrap/>
                  <w:vAlign w:val="bottom"/>
                </w:tcPr>
                <w:p>
                  <w:pPr>
                    <w:adjustRightInd w:val="0"/>
                    <w:snapToGrid w:val="0"/>
                    <w:spacing w:line="240" w:lineRule="exact"/>
                    <w:jc w:val="left"/>
                    <w:rPr>
                      <w:rFonts w:ascii="Arial" w:hAnsi="Arial" w:cs="Arial"/>
                      <w:kern w:val="0"/>
                      <w:sz w:val="22"/>
                      <w:szCs w:val="22"/>
                      <w:highlight w:val="none"/>
                    </w:rPr>
                  </w:pPr>
                  <w:r>
                    <w:rPr>
                      <w:rFonts w:hint="eastAsia" w:ascii="Arial" w:hAnsi="Arial" w:cs="Arial"/>
                      <w:kern w:val="0"/>
                      <w:sz w:val="22"/>
                      <w:szCs w:val="22"/>
                      <w:highlight w:val="none"/>
                    </w:rPr>
                    <w:t>千兆电口≥10，千兆光口≥4，万兆光口≥4，≥4个combo口；SSL VPN最大并发用户数≥20000；IPSec VPN隧道≥25000；虚拟防火墙数量≥32；采用非X86多核架构，支持（双）交/直流电源；吞吐量≥40Gbps，最大并发连接数≥1600万，每秒新建连接数≥50万；实现路由模式、透明（网桥）模式、混合模式；实现静态路由、策略路由、RIP、OSPF、BGP等路由协议；实现一对一、多对一、多对多等多种形式的NAT，实现DNS、FTP、H.323等多种NAT ALG功能；实现高性能IPSec、L2TP、GRE VPN、SSL VPN等功能；支持IPsec VPN隧道自动建立，无需流量触发；支持IPsec VPN智能选路，根据应用和隧道质量调度流量；实现安全区域划分，访问控制列表，配置对象及策略，动态包过滤，黑名单，MAC和IP绑定功能，基于MAC的访问控制列表，802.1q VLAN 透传等功能；支持一体化安全策略，能够基于时间、用户/用户组、应用层协议、地理位置、五元组、内容安全统一界面进行安全策略配置；支持策略冗余分析， 冲突策略分析以及命中率统计；支持策略风险调优，定期分析用户策略，结合应用状况和流量情况，给出优化建议；可识别应用层协议数量≥3000种，针对微信、QQ等应用可精细化识别文字、语音、文件传输等内容；设备提供海量预分类的URL地址库（本地+云端方式），支持根据URL类别实现URL过滤；设备支持管理者自定义新的URL地址和URL分类；提供基于用户名（或用户IP地址）实现对用户行为统一分析界面，采用饼状图对访问应用流量、网站访问集中分析展示，包含基于时间轴的访问行为轨迹(应用账号、行为内容等)，关联账号（微信、QQ）等相关用户行为审计内容；基于应用协议识别对各类聊天软件进行详细审计，可审计应用类型（如QQ、微信），应用识别账号，应用行为（如登录、发送消息、接收消息），操作时间，终端类型（Android、IOS）等；实现对黑客攻击、蠕虫/病毒、木马、恶意代码、间谍软件/广告软件等攻击的防御，实现缓冲区溢出、SQL注入、IDS/IPS逃逸等攻击的防御，实现攻击特征库的分类；支持超过7000种特征的攻击检测和防御；可基于病毒特征进行检测，实现病毒库手动和自动升级，报文流处理模式，实现病毒日志和报表；支持超过37000条病毒规则；支持数据防泄露，对传输的文件和内容进行识别过滤，对内容与身份证、信用卡、银行卡、社会安全卡号等类型进行匹配；可支持基于应用层协议设置流控策略，包括设置最大带宽、保证带宽、协议流量优先级等。要求支持带宽通道独占以及共享管理模式；支持HTTPS，POP3S，SMTPS,IMAPS加密流量的安全检测；支持与云沙箱联动，实现对APT攻击的防御功能；支持基于地理位置的流量和威胁分析；实现IPV6动态路由协议、IPV6对象及策略、IPV6状态防火墙、IPV6攻击防范、IPV6 GRE/IPSEC VPN、IPV6日志审计、IPV6会话热备等功能；支持IPV6下的访问控制、IPSec VPN、DDoS防护等安全功能；支持链路负载均衡功能，支持智能DNS，支持加权轮转、随机、加权最小连接、源IP地址hash、源IP地址和端口hash、目的地址hash、带宽算法、最大带宽算法、ACL、动态就近性、基于优先级的调度算法、主备实服务器组12种调度算法；能够防范DOS/DDOS攻击： Land、Smurf、Fraggle、WinNuke、Ping of Death、Tear Drop、IP Spoofing、SYN Flood、ICMP Flood、UDP Flood、HTTP Flood（cc）攻击、ARP欺骗、TCP报文标志位不合法、超大ICMP报文、地址扫描的防范、端口扫描的防范、DNS Flood、ACK Flood、FIN Flood、分片Flood、Tiny-Fragment；支持流量自学习功能，可设置自学习时间，并自动生成DDoS防范策略；支持报文示踪功能，可对原始报文进行回放；支持丢包统计，提供详细分析丢包原因；支持国密SM1/2/3/4算法；支持基于SDN网络的部署模式，支持对数据流进行服务链VXLAN封装转发；通过集中控制器对安全业务进行按需编排，实现安全能力的弹性扩展及多业务能力共享；所投设备须支持虚拟防火墙功能：支持虚拟防火墙的创建、启动、关闭、删除功能；可独立分配CPU/内存等计算资源；虚拟防火墙可独立管理，独立保存配置；虚拟防火墙具备独立会话管理、NAT、路由等功能；所投设备支持高可靠性（包含主备/主主模式）部署；支持SNMPv1、SNMPv2、SNMPv3、RMON等网络管理协议，并且支持通过网管软件远程进行设备软件升级、配置等；提供开放API接口（RESTful，NetConf），可编程管理防火墙，不再仅依赖网管软件；CMMI 5级认证；符合信息技术服务管理体系符合ISO/IEC 20000-1：2011标准，符合信息安全管理体系符合ISO/IEC 27001：2013标准；具备公安部监制的计算机信息系统安全专用产品销售许可证；具备中国信息安全认证中心颁发的国家信息安全产品认证证书（ISCCC）。</w:t>
                  </w:r>
                </w:p>
              </w:tc>
              <w:tc>
                <w:tcPr>
                  <w:tcW w:w="661" w:type="dxa"/>
                  <w:tcBorders>
                    <w:top w:val="single" w:color="auto" w:sz="8" w:space="0"/>
                    <w:left w:val="nil"/>
                    <w:bottom w:val="single" w:color="auto" w:sz="8" w:space="0"/>
                    <w:right w:val="single" w:color="000000" w:sz="4" w:space="0"/>
                  </w:tcBorders>
                  <w:noWrap/>
                  <w:vAlign w:val="center"/>
                </w:tcPr>
                <w:p>
                  <w:pPr>
                    <w:jc w:val="center"/>
                    <w:rPr>
                      <w:rFonts w:ascii="Arial" w:hAnsi="Arial" w:cs="Arial"/>
                      <w:kern w:val="0"/>
                      <w:sz w:val="22"/>
                      <w:szCs w:val="22"/>
                      <w:highlight w:val="none"/>
                    </w:rPr>
                  </w:pPr>
                  <w:r>
                    <w:rPr>
                      <w:rFonts w:hint="eastAsia" w:ascii="Arial" w:hAnsi="Arial" w:cs="Arial"/>
                      <w:kern w:val="0"/>
                      <w:sz w:val="22"/>
                      <w:szCs w:val="22"/>
                      <w:highlight w:val="none"/>
                    </w:rPr>
                    <w:t>1</w:t>
                  </w:r>
                </w:p>
              </w:tc>
            </w:tr>
            <w:tr>
              <w:tblPrEx>
                <w:tblLayout w:type="fixed"/>
                <w:tblCellMar>
                  <w:top w:w="0" w:type="dxa"/>
                  <w:left w:w="28" w:type="dxa"/>
                  <w:bottom w:w="0" w:type="dxa"/>
                  <w:right w:w="28" w:type="dxa"/>
                </w:tblCellMar>
              </w:tblPrEx>
              <w:trPr>
                <w:trHeight w:val="973" w:hRule="atLeast"/>
              </w:trPr>
              <w:tc>
                <w:tcPr>
                  <w:tcW w:w="495" w:type="dxa"/>
                  <w:tcBorders>
                    <w:top w:val="single" w:color="auto" w:sz="8" w:space="0"/>
                    <w:left w:val="single" w:color="000000" w:sz="4" w:space="0"/>
                    <w:bottom w:val="single" w:color="000000" w:sz="4" w:space="0"/>
                    <w:right w:val="single" w:color="000000" w:sz="4" w:space="0"/>
                  </w:tcBorders>
                  <w:noWrap w:val="0"/>
                  <w:vAlign w:val="center"/>
                </w:tcPr>
                <w:p>
                  <w:pPr>
                    <w:jc w:val="center"/>
                    <w:rPr>
                      <w:rFonts w:ascii="Arial" w:hAnsi="Arial" w:cs="Arial"/>
                      <w:b/>
                      <w:bCs/>
                      <w:kern w:val="0"/>
                      <w:sz w:val="22"/>
                      <w:szCs w:val="22"/>
                      <w:highlight w:val="none"/>
                    </w:rPr>
                  </w:pPr>
                  <w:r>
                    <w:rPr>
                      <w:rFonts w:hint="eastAsia" w:ascii="Arial" w:hAnsi="Arial" w:cs="Arial"/>
                      <w:b/>
                      <w:bCs/>
                      <w:kern w:val="0"/>
                      <w:sz w:val="22"/>
                      <w:szCs w:val="22"/>
                      <w:highlight w:val="none"/>
                    </w:rPr>
                    <w:t>5</w:t>
                  </w:r>
                </w:p>
              </w:tc>
              <w:tc>
                <w:tcPr>
                  <w:tcW w:w="783" w:type="dxa"/>
                  <w:tcBorders>
                    <w:top w:val="single" w:color="auto" w:sz="8" w:space="0"/>
                    <w:left w:val="single" w:color="000000" w:sz="4" w:space="0"/>
                    <w:bottom w:val="single" w:color="000000" w:sz="4" w:space="0"/>
                    <w:right w:val="single" w:color="000000" w:sz="4" w:space="0"/>
                  </w:tcBorders>
                  <w:noWrap/>
                  <w:vAlign w:val="center"/>
                </w:tcPr>
                <w:p>
                  <w:pPr>
                    <w:spacing w:line="300" w:lineRule="exact"/>
                    <w:jc w:val="center"/>
                    <w:rPr>
                      <w:rFonts w:ascii="Arial" w:hAnsi="Arial" w:cs="Arial"/>
                      <w:b/>
                      <w:bCs/>
                      <w:kern w:val="0"/>
                      <w:sz w:val="22"/>
                      <w:szCs w:val="22"/>
                      <w:highlight w:val="none"/>
                    </w:rPr>
                  </w:pPr>
                  <w:r>
                    <w:rPr>
                      <w:rFonts w:ascii="Arial" w:hAnsi="Arial" w:cs="Arial"/>
                      <w:b/>
                      <w:bCs/>
                      <w:kern w:val="0"/>
                      <w:sz w:val="22"/>
                      <w:szCs w:val="22"/>
                      <w:highlight w:val="none"/>
                    </w:rPr>
                    <w:t>大汇聚交换机</w:t>
                  </w:r>
                </w:p>
              </w:tc>
              <w:tc>
                <w:tcPr>
                  <w:tcW w:w="6298" w:type="dxa"/>
                  <w:tcBorders>
                    <w:top w:val="single" w:color="auto" w:sz="8" w:space="0"/>
                    <w:left w:val="nil"/>
                    <w:bottom w:val="single" w:color="auto" w:sz="8" w:space="0"/>
                    <w:right w:val="single" w:color="000000" w:sz="4" w:space="0"/>
                  </w:tcBorders>
                  <w:noWrap/>
                  <w:vAlign w:val="top"/>
                </w:tcPr>
                <w:p>
                  <w:pPr>
                    <w:adjustRightInd w:val="0"/>
                    <w:snapToGrid w:val="0"/>
                    <w:spacing w:line="240" w:lineRule="exact"/>
                    <w:jc w:val="left"/>
                    <w:rPr>
                      <w:rFonts w:ascii="Arial" w:hAnsi="Arial" w:cs="Arial"/>
                      <w:kern w:val="0"/>
                      <w:sz w:val="22"/>
                      <w:szCs w:val="22"/>
                      <w:highlight w:val="none"/>
                    </w:rPr>
                  </w:pPr>
                  <w:r>
                    <w:rPr>
                      <w:rFonts w:hint="eastAsia" w:ascii="Arial" w:hAnsi="Arial" w:cs="Arial"/>
                      <w:kern w:val="0"/>
                      <w:sz w:val="22"/>
                      <w:szCs w:val="22"/>
                      <w:highlight w:val="none"/>
                    </w:rPr>
                    <w:t>交换容量≥50Tbps，包转发率≥10000Mpps,业务插槽≥3,支持数据中心大二层技术EVI、EVB、FCoE和VXLAN，单台实配双电源，双风扇，24个万兆光口，2个40G光接口，1根虚拟化线缆</w:t>
                  </w:r>
                </w:p>
              </w:tc>
              <w:tc>
                <w:tcPr>
                  <w:tcW w:w="661" w:type="dxa"/>
                  <w:tcBorders>
                    <w:top w:val="single" w:color="auto" w:sz="8" w:space="0"/>
                    <w:left w:val="nil"/>
                    <w:bottom w:val="single" w:color="auto" w:sz="8" w:space="0"/>
                    <w:right w:val="single" w:color="000000" w:sz="4" w:space="0"/>
                  </w:tcBorders>
                  <w:noWrap/>
                  <w:vAlign w:val="center"/>
                </w:tcPr>
                <w:p>
                  <w:pPr>
                    <w:jc w:val="center"/>
                    <w:rPr>
                      <w:rFonts w:ascii="Arial" w:hAnsi="Arial" w:cs="Arial"/>
                      <w:kern w:val="0"/>
                      <w:sz w:val="22"/>
                      <w:szCs w:val="22"/>
                      <w:highlight w:val="none"/>
                    </w:rPr>
                  </w:pPr>
                  <w:r>
                    <w:rPr>
                      <w:rFonts w:hint="eastAsia" w:ascii="Arial" w:hAnsi="Arial" w:cs="Arial"/>
                      <w:kern w:val="0"/>
                      <w:sz w:val="22"/>
                      <w:szCs w:val="22"/>
                      <w:highlight w:val="none"/>
                    </w:rPr>
                    <w:t>4</w:t>
                  </w:r>
                </w:p>
              </w:tc>
            </w:tr>
            <w:tr>
              <w:tblPrEx>
                <w:tblLayout w:type="fixed"/>
                <w:tblCellMar>
                  <w:top w:w="0" w:type="dxa"/>
                  <w:left w:w="28" w:type="dxa"/>
                  <w:bottom w:w="0" w:type="dxa"/>
                  <w:right w:w="28" w:type="dxa"/>
                </w:tblCellMar>
              </w:tblPrEx>
              <w:trPr>
                <w:trHeight w:val="745" w:hRule="atLeast"/>
              </w:trPr>
              <w:tc>
                <w:tcPr>
                  <w:tcW w:w="495" w:type="dxa"/>
                  <w:tcBorders>
                    <w:top w:val="nil"/>
                    <w:left w:val="single" w:color="000000" w:sz="4" w:space="0"/>
                    <w:right w:val="single" w:color="000000" w:sz="4" w:space="0"/>
                  </w:tcBorders>
                  <w:noWrap w:val="0"/>
                  <w:vAlign w:val="center"/>
                </w:tcPr>
                <w:p>
                  <w:pPr>
                    <w:spacing w:line="360" w:lineRule="auto"/>
                    <w:jc w:val="center"/>
                    <w:rPr>
                      <w:rFonts w:ascii="Arial" w:hAnsi="Arial" w:cs="Arial"/>
                      <w:b/>
                      <w:bCs/>
                      <w:kern w:val="0"/>
                      <w:sz w:val="22"/>
                      <w:szCs w:val="22"/>
                      <w:highlight w:val="none"/>
                    </w:rPr>
                  </w:pPr>
                  <w:r>
                    <w:rPr>
                      <w:rFonts w:hint="eastAsia" w:ascii="Arial" w:hAnsi="Arial" w:cs="Arial"/>
                      <w:b/>
                      <w:bCs/>
                      <w:kern w:val="0"/>
                      <w:sz w:val="22"/>
                      <w:szCs w:val="22"/>
                      <w:highlight w:val="none"/>
                    </w:rPr>
                    <w:t>6</w:t>
                  </w:r>
                </w:p>
              </w:tc>
              <w:tc>
                <w:tcPr>
                  <w:tcW w:w="783" w:type="dxa"/>
                  <w:tcBorders>
                    <w:top w:val="nil"/>
                    <w:left w:val="single" w:color="000000" w:sz="4" w:space="0"/>
                    <w:right w:val="single" w:color="000000" w:sz="4" w:space="0"/>
                  </w:tcBorders>
                  <w:noWrap/>
                  <w:vAlign w:val="top"/>
                </w:tcPr>
                <w:p>
                  <w:pPr>
                    <w:spacing w:line="300" w:lineRule="exact"/>
                    <w:rPr>
                      <w:rFonts w:ascii="Arial" w:hAnsi="Arial" w:cs="Arial"/>
                      <w:b/>
                      <w:bCs/>
                      <w:kern w:val="0"/>
                      <w:sz w:val="22"/>
                      <w:szCs w:val="22"/>
                      <w:highlight w:val="none"/>
                    </w:rPr>
                  </w:pPr>
                  <w:r>
                    <w:rPr>
                      <w:rFonts w:ascii="Arial" w:hAnsi="Arial" w:cs="Arial"/>
                      <w:b/>
                      <w:bCs/>
                      <w:kern w:val="0"/>
                      <w:sz w:val="22"/>
                      <w:szCs w:val="22"/>
                      <w:highlight w:val="none"/>
                    </w:rPr>
                    <w:t>汇聚交换机</w:t>
                  </w:r>
                </w:p>
              </w:tc>
              <w:tc>
                <w:tcPr>
                  <w:tcW w:w="6298" w:type="dxa"/>
                  <w:tcBorders>
                    <w:top w:val="single" w:color="auto" w:sz="8" w:space="0"/>
                    <w:left w:val="nil"/>
                    <w:right w:val="single" w:color="000000" w:sz="4" w:space="0"/>
                  </w:tcBorders>
                  <w:noWrap/>
                  <w:vAlign w:val="top"/>
                </w:tcPr>
                <w:p>
                  <w:pPr>
                    <w:adjustRightInd w:val="0"/>
                    <w:snapToGrid w:val="0"/>
                    <w:spacing w:line="240" w:lineRule="exact"/>
                    <w:jc w:val="left"/>
                    <w:rPr>
                      <w:rFonts w:ascii="Arial" w:hAnsi="Arial" w:cs="Arial"/>
                      <w:kern w:val="0"/>
                      <w:sz w:val="22"/>
                      <w:szCs w:val="22"/>
                      <w:highlight w:val="none"/>
                    </w:rPr>
                  </w:pPr>
                  <w:r>
                    <w:rPr>
                      <w:rFonts w:hint="eastAsia" w:ascii="Arial" w:hAnsi="Arial" w:cs="Arial"/>
                      <w:kern w:val="0"/>
                      <w:sz w:val="22"/>
                      <w:szCs w:val="22"/>
                      <w:highlight w:val="none"/>
                    </w:rPr>
                    <w:t>交换容量≥5.98Tbps；转发性能≥220Mpps ；≥1业务插槽；配置≥24个千兆光口，≥4个万兆光口，≥8个千兆电口。</w:t>
                  </w:r>
                </w:p>
              </w:tc>
              <w:tc>
                <w:tcPr>
                  <w:tcW w:w="661" w:type="dxa"/>
                  <w:tcBorders>
                    <w:top w:val="single" w:color="auto" w:sz="8" w:space="0"/>
                    <w:left w:val="nil"/>
                    <w:right w:val="single" w:color="000000" w:sz="4" w:space="0"/>
                  </w:tcBorders>
                  <w:noWrap/>
                  <w:vAlign w:val="center"/>
                </w:tcPr>
                <w:p>
                  <w:pPr>
                    <w:jc w:val="center"/>
                    <w:rPr>
                      <w:rFonts w:ascii="Arial" w:hAnsi="Arial" w:cs="Arial"/>
                      <w:kern w:val="0"/>
                      <w:sz w:val="22"/>
                      <w:szCs w:val="22"/>
                      <w:highlight w:val="none"/>
                    </w:rPr>
                  </w:pPr>
                  <w:r>
                    <w:rPr>
                      <w:rFonts w:hint="eastAsia" w:ascii="Arial" w:hAnsi="Arial" w:cs="Arial"/>
                      <w:kern w:val="0"/>
                      <w:sz w:val="22"/>
                      <w:szCs w:val="22"/>
                      <w:highlight w:val="none"/>
                    </w:rPr>
                    <w:t>23</w:t>
                  </w:r>
                </w:p>
              </w:tc>
            </w:tr>
            <w:tr>
              <w:tblPrEx>
                <w:tblLayout w:type="fixed"/>
                <w:tblCellMar>
                  <w:top w:w="0" w:type="dxa"/>
                  <w:left w:w="28" w:type="dxa"/>
                  <w:bottom w:w="0" w:type="dxa"/>
                  <w:right w:w="28" w:type="dxa"/>
                </w:tblCellMar>
              </w:tblPrEx>
              <w:trPr>
                <w:trHeight w:val="458" w:hRule="atLeast"/>
              </w:trPr>
              <w:tc>
                <w:tcPr>
                  <w:tcW w:w="495" w:type="dxa"/>
                  <w:tcBorders>
                    <w:top w:val="single" w:color="auto" w:sz="8" w:space="0"/>
                    <w:left w:val="single" w:color="000000" w:sz="4" w:space="0"/>
                    <w:bottom w:val="single" w:color="auto" w:sz="8" w:space="0"/>
                    <w:right w:val="single" w:color="000000" w:sz="4" w:space="0"/>
                  </w:tcBorders>
                  <w:noWrap w:val="0"/>
                  <w:vAlign w:val="center"/>
                </w:tcPr>
                <w:p>
                  <w:pPr>
                    <w:jc w:val="center"/>
                    <w:rPr>
                      <w:rFonts w:ascii="Arial" w:hAnsi="Arial" w:cs="Arial"/>
                      <w:kern w:val="0"/>
                      <w:sz w:val="22"/>
                      <w:szCs w:val="22"/>
                      <w:highlight w:val="none"/>
                    </w:rPr>
                  </w:pPr>
                  <w:r>
                    <w:rPr>
                      <w:rFonts w:hint="eastAsia" w:ascii="Arial" w:hAnsi="Arial" w:cs="Arial"/>
                      <w:kern w:val="0"/>
                      <w:sz w:val="22"/>
                      <w:szCs w:val="22"/>
                      <w:highlight w:val="none"/>
                    </w:rPr>
                    <w:t>7</w:t>
                  </w:r>
                </w:p>
              </w:tc>
              <w:tc>
                <w:tcPr>
                  <w:tcW w:w="783" w:type="dxa"/>
                  <w:tcBorders>
                    <w:top w:val="single" w:color="auto" w:sz="8" w:space="0"/>
                    <w:left w:val="single" w:color="000000" w:sz="4" w:space="0"/>
                    <w:bottom w:val="single" w:color="auto" w:sz="8" w:space="0"/>
                    <w:right w:val="single" w:color="000000" w:sz="4" w:space="0"/>
                  </w:tcBorders>
                  <w:noWrap/>
                  <w:vAlign w:val="center"/>
                </w:tcPr>
                <w:p>
                  <w:pPr>
                    <w:spacing w:line="300" w:lineRule="exact"/>
                    <w:rPr>
                      <w:rFonts w:ascii="Arial" w:hAnsi="Arial" w:cs="Arial"/>
                      <w:b/>
                      <w:bCs/>
                      <w:kern w:val="0"/>
                      <w:sz w:val="22"/>
                      <w:szCs w:val="22"/>
                      <w:highlight w:val="none"/>
                    </w:rPr>
                  </w:pPr>
                  <w:r>
                    <w:rPr>
                      <w:rFonts w:ascii="Arial" w:hAnsi="Arial" w:cs="Arial"/>
                      <w:b/>
                      <w:bCs/>
                      <w:kern w:val="0"/>
                      <w:sz w:val="22"/>
                      <w:szCs w:val="22"/>
                      <w:highlight w:val="none"/>
                    </w:rPr>
                    <w:t>24口</w:t>
                  </w:r>
                </w:p>
                <w:p>
                  <w:pPr>
                    <w:spacing w:line="300" w:lineRule="exact"/>
                    <w:rPr>
                      <w:rFonts w:ascii="Arial" w:hAnsi="Arial" w:cs="Arial"/>
                      <w:b/>
                      <w:bCs/>
                      <w:kern w:val="0"/>
                      <w:sz w:val="22"/>
                      <w:szCs w:val="22"/>
                      <w:highlight w:val="none"/>
                    </w:rPr>
                  </w:pPr>
                  <w:r>
                    <w:rPr>
                      <w:rFonts w:hint="eastAsia" w:ascii="Arial" w:hAnsi="Arial" w:cs="Arial"/>
                      <w:b/>
                      <w:bCs/>
                      <w:kern w:val="0"/>
                      <w:sz w:val="22"/>
                      <w:szCs w:val="22"/>
                      <w:highlight w:val="none"/>
                    </w:rPr>
                    <w:t>POE</w:t>
                  </w:r>
                  <w:r>
                    <w:rPr>
                      <w:rFonts w:ascii="Arial" w:hAnsi="Arial" w:cs="Arial"/>
                      <w:b/>
                      <w:bCs/>
                      <w:kern w:val="0"/>
                      <w:sz w:val="22"/>
                      <w:szCs w:val="22"/>
                      <w:highlight w:val="none"/>
                    </w:rPr>
                    <w:t>交换机</w:t>
                  </w:r>
                </w:p>
              </w:tc>
              <w:tc>
                <w:tcPr>
                  <w:tcW w:w="6298" w:type="dxa"/>
                  <w:tcBorders>
                    <w:top w:val="single" w:color="auto" w:sz="8" w:space="0"/>
                    <w:left w:val="nil"/>
                    <w:bottom w:val="single" w:color="auto" w:sz="8" w:space="0"/>
                    <w:right w:val="single" w:color="000000" w:sz="4" w:space="0"/>
                  </w:tcBorders>
                  <w:noWrap/>
                  <w:vAlign w:val="bottom"/>
                </w:tcPr>
                <w:p>
                  <w:pPr>
                    <w:adjustRightInd w:val="0"/>
                    <w:snapToGrid w:val="0"/>
                    <w:spacing w:line="240" w:lineRule="exact"/>
                    <w:jc w:val="left"/>
                    <w:rPr>
                      <w:rFonts w:ascii="Arial" w:hAnsi="Arial" w:cs="Arial"/>
                      <w:kern w:val="0"/>
                      <w:sz w:val="22"/>
                      <w:szCs w:val="22"/>
                      <w:highlight w:val="none"/>
                    </w:rPr>
                  </w:pPr>
                  <w:r>
                    <w:rPr>
                      <w:rFonts w:hint="eastAsia" w:ascii="Arial" w:hAnsi="Arial" w:cs="Arial"/>
                      <w:kern w:val="0"/>
                      <w:sz w:val="22"/>
                      <w:szCs w:val="22"/>
                      <w:highlight w:val="none"/>
                    </w:rPr>
                    <w:t>交换容量≥3.3T，包转发≥120Mpps；固化≥24个10/100/1000Base-T以太网端口，≥4个1000Base-X以太网端口； 可以支持802.3af/802.3at增强的以太网供电功能，单端口最大30W的输出功率，可以为802.11n的无线接入点，可视IP电话，大功率的监控摄像头以及更多的终端设备提供以太网供电能力。支持10KV防雷</w:t>
                  </w:r>
                </w:p>
              </w:tc>
              <w:tc>
                <w:tcPr>
                  <w:tcW w:w="661" w:type="dxa"/>
                  <w:tcBorders>
                    <w:top w:val="single" w:color="auto" w:sz="8" w:space="0"/>
                    <w:left w:val="nil"/>
                    <w:bottom w:val="single" w:color="auto" w:sz="8" w:space="0"/>
                    <w:right w:val="single" w:color="000000" w:sz="4" w:space="0"/>
                  </w:tcBorders>
                  <w:noWrap/>
                  <w:vAlign w:val="center"/>
                </w:tcPr>
                <w:p>
                  <w:pPr>
                    <w:jc w:val="center"/>
                    <w:rPr>
                      <w:rFonts w:ascii="Arial" w:hAnsi="Arial" w:cs="Arial"/>
                      <w:kern w:val="0"/>
                      <w:sz w:val="22"/>
                      <w:szCs w:val="22"/>
                      <w:highlight w:val="none"/>
                    </w:rPr>
                  </w:pPr>
                  <w:r>
                    <w:rPr>
                      <w:rFonts w:hint="eastAsia" w:ascii="Arial" w:hAnsi="Arial" w:cs="Arial"/>
                      <w:kern w:val="0"/>
                      <w:sz w:val="22"/>
                      <w:szCs w:val="22"/>
                      <w:highlight w:val="none"/>
                    </w:rPr>
                    <w:t>140</w:t>
                  </w:r>
                </w:p>
              </w:tc>
            </w:tr>
            <w:tr>
              <w:tblPrEx>
                <w:tblLayout w:type="fixed"/>
                <w:tblCellMar>
                  <w:top w:w="0" w:type="dxa"/>
                  <w:left w:w="28" w:type="dxa"/>
                  <w:bottom w:w="0" w:type="dxa"/>
                  <w:right w:w="28" w:type="dxa"/>
                </w:tblCellMar>
              </w:tblPrEx>
              <w:trPr>
                <w:trHeight w:val="458" w:hRule="atLeast"/>
              </w:trPr>
              <w:tc>
                <w:tcPr>
                  <w:tcW w:w="495" w:type="dxa"/>
                  <w:tcBorders>
                    <w:top w:val="single" w:color="auto" w:sz="8" w:space="0"/>
                    <w:left w:val="single" w:color="000000" w:sz="4" w:space="0"/>
                    <w:bottom w:val="single" w:color="auto" w:sz="8" w:space="0"/>
                    <w:right w:val="single" w:color="000000" w:sz="4" w:space="0"/>
                  </w:tcBorders>
                  <w:noWrap w:val="0"/>
                  <w:vAlign w:val="center"/>
                </w:tcPr>
                <w:p>
                  <w:pPr>
                    <w:jc w:val="center"/>
                    <w:rPr>
                      <w:rFonts w:ascii="Arial" w:hAnsi="Arial" w:cs="Arial"/>
                      <w:kern w:val="0"/>
                      <w:sz w:val="22"/>
                      <w:szCs w:val="22"/>
                      <w:highlight w:val="none"/>
                    </w:rPr>
                  </w:pPr>
                  <w:r>
                    <w:rPr>
                      <w:rFonts w:hint="eastAsia" w:ascii="Arial" w:hAnsi="Arial" w:cs="Arial"/>
                      <w:kern w:val="0"/>
                      <w:sz w:val="22"/>
                      <w:szCs w:val="22"/>
                      <w:highlight w:val="none"/>
                    </w:rPr>
                    <w:t>8</w:t>
                  </w:r>
                </w:p>
              </w:tc>
              <w:tc>
                <w:tcPr>
                  <w:tcW w:w="783" w:type="dxa"/>
                  <w:tcBorders>
                    <w:top w:val="single" w:color="auto" w:sz="8" w:space="0"/>
                    <w:left w:val="single" w:color="000000" w:sz="4" w:space="0"/>
                    <w:bottom w:val="single" w:color="auto" w:sz="8" w:space="0"/>
                    <w:right w:val="single" w:color="000000" w:sz="4" w:space="0"/>
                  </w:tcBorders>
                  <w:noWrap/>
                  <w:vAlign w:val="center"/>
                </w:tcPr>
                <w:p>
                  <w:pPr>
                    <w:spacing w:line="300" w:lineRule="exact"/>
                    <w:rPr>
                      <w:rFonts w:ascii="Arial" w:hAnsi="Arial" w:cs="Arial"/>
                      <w:b/>
                      <w:bCs/>
                      <w:kern w:val="0"/>
                      <w:sz w:val="22"/>
                      <w:szCs w:val="22"/>
                      <w:highlight w:val="none"/>
                    </w:rPr>
                  </w:pPr>
                  <w:r>
                    <w:rPr>
                      <w:rFonts w:ascii="Arial" w:hAnsi="Arial" w:cs="Arial"/>
                      <w:b/>
                      <w:bCs/>
                      <w:kern w:val="0"/>
                      <w:sz w:val="22"/>
                      <w:szCs w:val="22"/>
                      <w:highlight w:val="none"/>
                    </w:rPr>
                    <w:t>8口</w:t>
                  </w:r>
                </w:p>
                <w:p>
                  <w:pPr>
                    <w:spacing w:line="300" w:lineRule="exact"/>
                    <w:rPr>
                      <w:rFonts w:ascii="Arial" w:hAnsi="Arial" w:cs="Arial"/>
                      <w:b/>
                      <w:bCs/>
                      <w:kern w:val="0"/>
                      <w:sz w:val="22"/>
                      <w:szCs w:val="22"/>
                      <w:highlight w:val="none"/>
                    </w:rPr>
                  </w:pPr>
                  <w:r>
                    <w:rPr>
                      <w:rFonts w:ascii="Arial" w:hAnsi="Arial" w:cs="Arial"/>
                      <w:b/>
                      <w:bCs/>
                      <w:kern w:val="0"/>
                      <w:sz w:val="22"/>
                      <w:szCs w:val="22"/>
                      <w:highlight w:val="none"/>
                    </w:rPr>
                    <w:t>POE交换机</w:t>
                  </w:r>
                </w:p>
              </w:tc>
              <w:tc>
                <w:tcPr>
                  <w:tcW w:w="6298" w:type="dxa"/>
                  <w:tcBorders>
                    <w:top w:val="single" w:color="auto" w:sz="8" w:space="0"/>
                    <w:left w:val="nil"/>
                    <w:bottom w:val="single" w:color="auto" w:sz="8" w:space="0"/>
                    <w:right w:val="single" w:color="000000" w:sz="4" w:space="0"/>
                  </w:tcBorders>
                  <w:noWrap/>
                  <w:vAlign w:val="bottom"/>
                </w:tcPr>
                <w:p>
                  <w:pPr>
                    <w:adjustRightInd w:val="0"/>
                    <w:snapToGrid w:val="0"/>
                    <w:spacing w:line="240" w:lineRule="exact"/>
                    <w:jc w:val="left"/>
                    <w:rPr>
                      <w:rFonts w:ascii="Arial" w:hAnsi="Arial" w:cs="Arial"/>
                      <w:kern w:val="0"/>
                      <w:sz w:val="22"/>
                      <w:szCs w:val="22"/>
                      <w:highlight w:val="none"/>
                    </w:rPr>
                  </w:pPr>
                  <w:r>
                    <w:rPr>
                      <w:rFonts w:hint="eastAsia" w:ascii="Arial" w:hAnsi="Arial" w:cs="Arial"/>
                      <w:kern w:val="0"/>
                      <w:sz w:val="22"/>
                      <w:szCs w:val="22"/>
                      <w:highlight w:val="none"/>
                    </w:rPr>
                    <w:t>交换容量≥3.3T，包转发≥80Mpps；固化≥8个10/100/1000Base-T以太网端口，≥2个1000Base-X以太网端口； 可以支持802.3af/802.3at增强的以太网供电功能，单端口最大30W的输出功率，可以为802.11n的无线接入点，可视IP电话，大功率的监控摄像头以及更多的终端设备提供以太网供电能力。支持10KV防雷</w:t>
                  </w:r>
                </w:p>
              </w:tc>
              <w:tc>
                <w:tcPr>
                  <w:tcW w:w="661" w:type="dxa"/>
                  <w:tcBorders>
                    <w:top w:val="single" w:color="auto" w:sz="8" w:space="0"/>
                    <w:left w:val="nil"/>
                    <w:bottom w:val="single" w:color="auto" w:sz="8" w:space="0"/>
                    <w:right w:val="single" w:color="000000" w:sz="4" w:space="0"/>
                  </w:tcBorders>
                  <w:noWrap/>
                  <w:vAlign w:val="center"/>
                </w:tcPr>
                <w:p>
                  <w:pPr>
                    <w:jc w:val="center"/>
                    <w:rPr>
                      <w:rFonts w:ascii="Arial" w:hAnsi="Arial" w:cs="Arial"/>
                      <w:kern w:val="0"/>
                      <w:sz w:val="22"/>
                      <w:szCs w:val="22"/>
                      <w:highlight w:val="none"/>
                    </w:rPr>
                  </w:pPr>
                </w:p>
              </w:tc>
            </w:tr>
            <w:tr>
              <w:tblPrEx>
                <w:tblLayout w:type="fixed"/>
                <w:tblCellMar>
                  <w:top w:w="0" w:type="dxa"/>
                  <w:left w:w="28" w:type="dxa"/>
                  <w:bottom w:w="0" w:type="dxa"/>
                  <w:right w:w="28" w:type="dxa"/>
                </w:tblCellMar>
              </w:tblPrEx>
              <w:trPr>
                <w:trHeight w:val="458" w:hRule="atLeast"/>
              </w:trPr>
              <w:tc>
                <w:tcPr>
                  <w:tcW w:w="495" w:type="dxa"/>
                  <w:tcBorders>
                    <w:top w:val="single" w:color="auto" w:sz="8" w:space="0"/>
                    <w:left w:val="single" w:color="000000" w:sz="4" w:space="0"/>
                    <w:bottom w:val="single" w:color="auto" w:sz="8" w:space="0"/>
                    <w:right w:val="single" w:color="000000" w:sz="4" w:space="0"/>
                  </w:tcBorders>
                  <w:noWrap w:val="0"/>
                  <w:vAlign w:val="center"/>
                </w:tcPr>
                <w:p>
                  <w:pPr>
                    <w:jc w:val="center"/>
                    <w:rPr>
                      <w:rFonts w:ascii="Arial" w:hAnsi="Arial" w:cs="Arial"/>
                      <w:kern w:val="0"/>
                      <w:sz w:val="22"/>
                      <w:szCs w:val="22"/>
                      <w:highlight w:val="none"/>
                    </w:rPr>
                  </w:pPr>
                  <w:r>
                    <w:rPr>
                      <w:rFonts w:hint="eastAsia" w:ascii="Arial" w:hAnsi="Arial" w:cs="Arial"/>
                      <w:kern w:val="0"/>
                      <w:sz w:val="22"/>
                      <w:szCs w:val="22"/>
                      <w:highlight w:val="none"/>
                    </w:rPr>
                    <w:t>9</w:t>
                  </w:r>
                </w:p>
              </w:tc>
              <w:tc>
                <w:tcPr>
                  <w:tcW w:w="783" w:type="dxa"/>
                  <w:tcBorders>
                    <w:top w:val="single" w:color="auto" w:sz="8" w:space="0"/>
                    <w:left w:val="single" w:color="000000" w:sz="4" w:space="0"/>
                    <w:bottom w:val="single" w:color="auto" w:sz="8" w:space="0"/>
                    <w:right w:val="single" w:color="000000" w:sz="4" w:space="0"/>
                  </w:tcBorders>
                  <w:noWrap/>
                  <w:vAlign w:val="center"/>
                </w:tcPr>
                <w:p>
                  <w:pPr>
                    <w:jc w:val="center"/>
                    <w:rPr>
                      <w:rFonts w:ascii="Arial" w:hAnsi="Arial" w:cs="Arial"/>
                      <w:b/>
                      <w:kern w:val="0"/>
                      <w:sz w:val="22"/>
                      <w:szCs w:val="22"/>
                      <w:highlight w:val="none"/>
                    </w:rPr>
                  </w:pPr>
                  <w:r>
                    <w:rPr>
                      <w:rFonts w:hint="eastAsia" w:ascii="Arial" w:hAnsi="Arial" w:cs="Arial"/>
                      <w:b/>
                      <w:kern w:val="0"/>
                      <w:sz w:val="22"/>
                      <w:szCs w:val="22"/>
                      <w:highlight w:val="none"/>
                    </w:rPr>
                    <w:t>中心AP</w:t>
                  </w:r>
                </w:p>
              </w:tc>
              <w:tc>
                <w:tcPr>
                  <w:tcW w:w="6298" w:type="dxa"/>
                  <w:tcBorders>
                    <w:top w:val="single" w:color="auto" w:sz="8" w:space="0"/>
                    <w:left w:val="nil"/>
                    <w:bottom w:val="single" w:color="auto" w:sz="8" w:space="0"/>
                    <w:right w:val="single" w:color="000000" w:sz="4" w:space="0"/>
                  </w:tcBorders>
                  <w:noWrap/>
                  <w:vAlign w:val="top"/>
                </w:tcPr>
                <w:p>
                  <w:pPr>
                    <w:widowControl/>
                    <w:adjustRightInd w:val="0"/>
                    <w:snapToGrid w:val="0"/>
                    <w:spacing w:line="240" w:lineRule="exact"/>
                    <w:jc w:val="left"/>
                    <w:rPr>
                      <w:rFonts w:ascii="Arial" w:hAnsi="Arial" w:cs="Arial"/>
                      <w:kern w:val="0"/>
                      <w:sz w:val="22"/>
                      <w:szCs w:val="22"/>
                      <w:highlight w:val="none"/>
                    </w:rPr>
                  </w:pPr>
                  <w:r>
                    <w:rPr>
                      <w:rFonts w:hint="eastAsia" w:ascii="Arial" w:hAnsi="Arial" w:cs="Arial"/>
                      <w:kern w:val="0"/>
                      <w:sz w:val="22"/>
                      <w:szCs w:val="22"/>
                      <w:highlight w:val="none"/>
                    </w:rPr>
                    <w:t>单台实配24个千兆光口或电口（最多</w:t>
                  </w:r>
                  <w:r>
                    <w:rPr>
                      <w:rFonts w:ascii="Arial" w:hAnsi="Arial" w:cs="Arial"/>
                      <w:kern w:val="0"/>
                      <w:sz w:val="22"/>
                      <w:szCs w:val="22"/>
                      <w:highlight w:val="none"/>
                    </w:rPr>
                    <w:t>支持</w:t>
                  </w:r>
                  <w:r>
                    <w:rPr>
                      <w:rFonts w:hint="eastAsia" w:ascii="Arial" w:hAnsi="Arial" w:cs="Arial"/>
                      <w:kern w:val="0"/>
                      <w:sz w:val="22"/>
                      <w:szCs w:val="22"/>
                      <w:highlight w:val="none"/>
                    </w:rPr>
                    <w:t>24个</w:t>
                  </w:r>
                  <w:r>
                    <w:rPr>
                      <w:rFonts w:ascii="Arial" w:hAnsi="Arial" w:cs="Arial"/>
                      <w:kern w:val="0"/>
                      <w:sz w:val="22"/>
                      <w:szCs w:val="22"/>
                      <w:highlight w:val="none"/>
                    </w:rPr>
                    <w:t>分体</w:t>
                  </w:r>
                  <w:r>
                    <w:rPr>
                      <w:rFonts w:hint="eastAsia" w:ascii="Arial" w:hAnsi="Arial" w:cs="Arial"/>
                      <w:kern w:val="0"/>
                      <w:sz w:val="22"/>
                      <w:szCs w:val="22"/>
                      <w:highlight w:val="none"/>
                    </w:rPr>
                    <w:t>接入），4个万兆光口，支持物联网扩展，支持POE供电</w:t>
                  </w:r>
                </w:p>
              </w:tc>
              <w:tc>
                <w:tcPr>
                  <w:tcW w:w="661" w:type="dxa"/>
                  <w:tcBorders>
                    <w:top w:val="single" w:color="auto" w:sz="8" w:space="0"/>
                    <w:left w:val="nil"/>
                    <w:bottom w:val="single" w:color="auto" w:sz="8" w:space="0"/>
                    <w:right w:val="single" w:color="000000" w:sz="4" w:space="0"/>
                  </w:tcBorders>
                  <w:noWrap/>
                  <w:vAlign w:val="center"/>
                </w:tcPr>
                <w:p>
                  <w:pPr>
                    <w:jc w:val="center"/>
                    <w:rPr>
                      <w:rFonts w:ascii="Arial" w:hAnsi="Arial" w:cs="Arial"/>
                      <w:kern w:val="0"/>
                      <w:sz w:val="22"/>
                      <w:szCs w:val="22"/>
                      <w:highlight w:val="none"/>
                    </w:rPr>
                  </w:pPr>
                  <w:r>
                    <w:rPr>
                      <w:rFonts w:hint="eastAsia" w:ascii="Arial" w:hAnsi="Arial" w:cs="Arial"/>
                      <w:kern w:val="0"/>
                      <w:sz w:val="22"/>
                      <w:szCs w:val="22"/>
                      <w:highlight w:val="none"/>
                    </w:rPr>
                    <w:t>140</w:t>
                  </w:r>
                </w:p>
              </w:tc>
            </w:tr>
            <w:tr>
              <w:tblPrEx>
                <w:tblLayout w:type="fixed"/>
                <w:tblCellMar>
                  <w:top w:w="0" w:type="dxa"/>
                  <w:left w:w="28" w:type="dxa"/>
                  <w:bottom w:w="0" w:type="dxa"/>
                  <w:right w:w="28" w:type="dxa"/>
                </w:tblCellMar>
              </w:tblPrEx>
              <w:trPr>
                <w:trHeight w:val="458" w:hRule="atLeast"/>
              </w:trPr>
              <w:tc>
                <w:tcPr>
                  <w:tcW w:w="495" w:type="dxa"/>
                  <w:tcBorders>
                    <w:top w:val="single" w:color="auto" w:sz="8" w:space="0"/>
                    <w:left w:val="single" w:color="000000" w:sz="4" w:space="0"/>
                    <w:bottom w:val="single" w:color="auto" w:sz="8" w:space="0"/>
                    <w:right w:val="single" w:color="000000" w:sz="4" w:space="0"/>
                  </w:tcBorders>
                  <w:noWrap w:val="0"/>
                  <w:vAlign w:val="center"/>
                </w:tcPr>
                <w:p>
                  <w:pPr>
                    <w:jc w:val="center"/>
                    <w:rPr>
                      <w:rFonts w:ascii="Arial" w:hAnsi="Arial" w:cs="Arial"/>
                      <w:kern w:val="0"/>
                      <w:sz w:val="22"/>
                      <w:szCs w:val="22"/>
                      <w:highlight w:val="none"/>
                    </w:rPr>
                  </w:pPr>
                  <w:r>
                    <w:rPr>
                      <w:rFonts w:hint="eastAsia" w:ascii="Arial" w:hAnsi="Arial" w:cs="Arial"/>
                      <w:kern w:val="0"/>
                      <w:sz w:val="22"/>
                      <w:szCs w:val="22"/>
                      <w:highlight w:val="none"/>
                    </w:rPr>
                    <w:t>10</w:t>
                  </w:r>
                </w:p>
              </w:tc>
              <w:tc>
                <w:tcPr>
                  <w:tcW w:w="783" w:type="dxa"/>
                  <w:tcBorders>
                    <w:top w:val="single" w:color="auto" w:sz="8" w:space="0"/>
                    <w:left w:val="single" w:color="000000" w:sz="4" w:space="0"/>
                    <w:bottom w:val="single" w:color="auto" w:sz="8" w:space="0"/>
                    <w:right w:val="single" w:color="000000" w:sz="4" w:space="0"/>
                  </w:tcBorders>
                  <w:noWrap/>
                  <w:vAlign w:val="center"/>
                </w:tcPr>
                <w:p>
                  <w:pPr>
                    <w:jc w:val="center"/>
                    <w:rPr>
                      <w:rFonts w:ascii="Arial" w:hAnsi="Arial" w:cs="Arial"/>
                      <w:b/>
                      <w:kern w:val="0"/>
                      <w:sz w:val="22"/>
                      <w:szCs w:val="22"/>
                      <w:highlight w:val="none"/>
                    </w:rPr>
                  </w:pPr>
                  <w:r>
                    <w:rPr>
                      <w:rFonts w:hint="eastAsia" w:ascii="Arial" w:hAnsi="Arial" w:cs="Arial"/>
                      <w:b/>
                      <w:kern w:val="0"/>
                      <w:sz w:val="22"/>
                      <w:szCs w:val="22"/>
                      <w:highlight w:val="none"/>
                    </w:rPr>
                    <w:t>分体AP</w:t>
                  </w:r>
                </w:p>
              </w:tc>
              <w:tc>
                <w:tcPr>
                  <w:tcW w:w="6298" w:type="dxa"/>
                  <w:tcBorders>
                    <w:top w:val="single" w:color="auto" w:sz="8" w:space="0"/>
                    <w:left w:val="nil"/>
                    <w:bottom w:val="single" w:color="auto" w:sz="8" w:space="0"/>
                    <w:right w:val="single" w:color="000000" w:sz="4" w:space="0"/>
                  </w:tcBorders>
                  <w:noWrap/>
                  <w:vAlign w:val="top"/>
                </w:tcPr>
                <w:p>
                  <w:pPr>
                    <w:widowControl/>
                    <w:adjustRightInd w:val="0"/>
                    <w:snapToGrid w:val="0"/>
                    <w:spacing w:line="240" w:lineRule="exact"/>
                    <w:jc w:val="left"/>
                    <w:rPr>
                      <w:rFonts w:ascii="Arial" w:hAnsi="Arial" w:cs="Arial"/>
                      <w:kern w:val="0"/>
                      <w:sz w:val="22"/>
                      <w:szCs w:val="22"/>
                      <w:highlight w:val="none"/>
                    </w:rPr>
                  </w:pPr>
                  <w:r>
                    <w:rPr>
                      <w:rFonts w:hint="eastAsia" w:ascii="Arial" w:hAnsi="Arial" w:cs="Arial"/>
                      <w:kern w:val="0"/>
                      <w:sz w:val="22"/>
                      <w:szCs w:val="22"/>
                      <w:highlight w:val="none"/>
                    </w:rPr>
                    <w:t>单台配置：</w:t>
                  </w:r>
                  <w:r>
                    <w:rPr>
                      <w:rFonts w:ascii="Arial" w:hAnsi="Arial" w:cs="Arial"/>
                      <w:kern w:val="0"/>
                      <w:sz w:val="22"/>
                      <w:szCs w:val="22"/>
                      <w:highlight w:val="none"/>
                    </w:rPr>
                    <w:t>4个10/100/1000Mbps 自协商以太网口</w:t>
                  </w:r>
                  <w:r>
                    <w:rPr>
                      <w:rFonts w:hint="eastAsia" w:ascii="Arial" w:hAnsi="Arial" w:cs="Arial"/>
                      <w:kern w:val="0"/>
                      <w:sz w:val="22"/>
                      <w:szCs w:val="22"/>
                      <w:highlight w:val="none"/>
                    </w:rPr>
                    <w:t>，1个</w:t>
                  </w:r>
                  <w:r>
                    <w:rPr>
                      <w:rFonts w:ascii="Arial" w:hAnsi="Arial" w:cs="Arial"/>
                      <w:kern w:val="0"/>
                      <w:sz w:val="22"/>
                      <w:szCs w:val="22"/>
                      <w:highlight w:val="none"/>
                    </w:rPr>
                    <w:t>上行口（10/100/1000Mbps 自协商以太网口）</w:t>
                  </w:r>
                  <w:r>
                    <w:rPr>
                      <w:rFonts w:hint="eastAsia" w:ascii="Arial" w:hAnsi="Arial" w:cs="Arial"/>
                      <w:kern w:val="0"/>
                      <w:sz w:val="22"/>
                      <w:szCs w:val="22"/>
                      <w:highlight w:val="none"/>
                    </w:rPr>
                    <w:t>；支持wave2，</w:t>
                  </w:r>
                  <w:r>
                    <w:rPr>
                      <w:rFonts w:ascii="Arial" w:hAnsi="Arial" w:cs="Arial"/>
                      <w:kern w:val="0"/>
                      <w:sz w:val="22"/>
                      <w:szCs w:val="22"/>
                      <w:highlight w:val="none"/>
                    </w:rPr>
                    <w:t>x86</w:t>
                  </w:r>
                  <w:r>
                    <w:rPr>
                      <w:rFonts w:hint="eastAsia" w:ascii="Arial" w:hAnsi="Arial" w:cs="Arial"/>
                      <w:kern w:val="0"/>
                      <w:sz w:val="22"/>
                      <w:szCs w:val="22"/>
                      <w:highlight w:val="none"/>
                    </w:rPr>
                    <w:t>面板</w:t>
                  </w:r>
                  <w:r>
                    <w:rPr>
                      <w:rFonts w:ascii="Arial" w:hAnsi="Arial" w:cs="Arial"/>
                      <w:kern w:val="0"/>
                      <w:sz w:val="22"/>
                      <w:szCs w:val="22"/>
                      <w:highlight w:val="none"/>
                    </w:rPr>
                    <w:t>盒</w:t>
                  </w:r>
                  <w:r>
                    <w:rPr>
                      <w:rFonts w:hint="eastAsia" w:ascii="Arial" w:hAnsi="Arial" w:cs="Arial"/>
                      <w:kern w:val="0"/>
                      <w:sz w:val="22"/>
                      <w:szCs w:val="22"/>
                      <w:highlight w:val="none"/>
                    </w:rPr>
                    <w:t>尺寸</w:t>
                  </w:r>
                  <w:r>
                    <w:rPr>
                      <w:rFonts w:ascii="Arial" w:hAnsi="Arial" w:cs="Arial"/>
                      <w:kern w:val="0"/>
                      <w:sz w:val="22"/>
                      <w:szCs w:val="22"/>
                      <w:highlight w:val="none"/>
                    </w:rPr>
                    <w:t>，整机接入速率</w:t>
                  </w:r>
                  <w:r>
                    <w:rPr>
                      <w:rFonts w:hint="eastAsia" w:ascii="Arial" w:hAnsi="Arial" w:cs="Arial"/>
                      <w:kern w:val="0"/>
                      <w:sz w:val="22"/>
                      <w:szCs w:val="22"/>
                      <w:highlight w:val="none"/>
                    </w:rPr>
                    <w:t>1167M</w:t>
                  </w:r>
                  <w:r>
                    <w:rPr>
                      <w:rFonts w:ascii="Arial" w:hAnsi="Arial" w:cs="Arial"/>
                      <w:kern w:val="0"/>
                      <w:sz w:val="22"/>
                      <w:szCs w:val="22"/>
                      <w:highlight w:val="none"/>
                    </w:rPr>
                    <w:t>bps；</w:t>
                  </w:r>
                  <w:r>
                    <w:rPr>
                      <w:rFonts w:hint="eastAsia" w:ascii="Arial" w:hAnsi="Arial" w:cs="Arial"/>
                      <w:kern w:val="0"/>
                      <w:sz w:val="22"/>
                      <w:szCs w:val="22"/>
                      <w:highlight w:val="none"/>
                    </w:rPr>
                    <w:t xml:space="preserve"> </w:t>
                  </w:r>
                </w:p>
              </w:tc>
              <w:tc>
                <w:tcPr>
                  <w:tcW w:w="661" w:type="dxa"/>
                  <w:tcBorders>
                    <w:top w:val="single" w:color="auto" w:sz="8" w:space="0"/>
                    <w:left w:val="nil"/>
                    <w:bottom w:val="single" w:color="auto" w:sz="8" w:space="0"/>
                    <w:right w:val="single" w:color="000000" w:sz="4" w:space="0"/>
                  </w:tcBorders>
                  <w:noWrap/>
                  <w:vAlign w:val="center"/>
                </w:tcPr>
                <w:p>
                  <w:pPr>
                    <w:jc w:val="center"/>
                    <w:rPr>
                      <w:rFonts w:ascii="Arial" w:hAnsi="Arial" w:cs="Arial"/>
                      <w:kern w:val="0"/>
                      <w:sz w:val="22"/>
                      <w:szCs w:val="22"/>
                      <w:highlight w:val="none"/>
                    </w:rPr>
                  </w:pPr>
                  <w:r>
                    <w:rPr>
                      <w:rFonts w:hint="eastAsia" w:ascii="Arial" w:hAnsi="Arial" w:cs="Arial"/>
                      <w:kern w:val="0"/>
                      <w:sz w:val="22"/>
                      <w:szCs w:val="22"/>
                      <w:highlight w:val="none"/>
                    </w:rPr>
                    <w:t>2600</w:t>
                  </w:r>
                </w:p>
              </w:tc>
            </w:tr>
            <w:tr>
              <w:tblPrEx>
                <w:tblLayout w:type="fixed"/>
                <w:tblCellMar>
                  <w:top w:w="0" w:type="dxa"/>
                  <w:left w:w="28" w:type="dxa"/>
                  <w:bottom w:w="0" w:type="dxa"/>
                  <w:right w:w="28" w:type="dxa"/>
                </w:tblCellMar>
              </w:tblPrEx>
              <w:trPr>
                <w:trHeight w:val="458" w:hRule="atLeast"/>
              </w:trPr>
              <w:tc>
                <w:tcPr>
                  <w:tcW w:w="495" w:type="dxa"/>
                  <w:tcBorders>
                    <w:top w:val="single" w:color="auto" w:sz="8" w:space="0"/>
                    <w:left w:val="single" w:color="000000" w:sz="4" w:space="0"/>
                    <w:bottom w:val="single" w:color="auto" w:sz="8" w:space="0"/>
                    <w:right w:val="single" w:color="000000" w:sz="4" w:space="0"/>
                  </w:tcBorders>
                  <w:noWrap w:val="0"/>
                  <w:vAlign w:val="center"/>
                </w:tcPr>
                <w:p>
                  <w:pPr>
                    <w:jc w:val="center"/>
                    <w:rPr>
                      <w:rFonts w:ascii="Arial" w:hAnsi="Arial" w:cs="Arial"/>
                      <w:kern w:val="0"/>
                      <w:sz w:val="22"/>
                      <w:szCs w:val="22"/>
                      <w:highlight w:val="none"/>
                    </w:rPr>
                  </w:pPr>
                  <w:r>
                    <w:rPr>
                      <w:rFonts w:hint="eastAsia" w:ascii="Arial" w:hAnsi="Arial" w:cs="Arial"/>
                      <w:kern w:val="0"/>
                      <w:sz w:val="22"/>
                      <w:szCs w:val="22"/>
                      <w:highlight w:val="none"/>
                    </w:rPr>
                    <w:t>11</w:t>
                  </w:r>
                </w:p>
              </w:tc>
              <w:tc>
                <w:tcPr>
                  <w:tcW w:w="783" w:type="dxa"/>
                  <w:tcBorders>
                    <w:top w:val="single" w:color="auto" w:sz="8" w:space="0"/>
                    <w:left w:val="single" w:color="000000" w:sz="4" w:space="0"/>
                    <w:bottom w:val="single" w:color="auto" w:sz="8" w:space="0"/>
                    <w:right w:val="single" w:color="000000" w:sz="4" w:space="0"/>
                  </w:tcBorders>
                  <w:noWrap/>
                  <w:vAlign w:val="center"/>
                </w:tcPr>
                <w:p>
                  <w:pPr>
                    <w:jc w:val="center"/>
                    <w:rPr>
                      <w:rFonts w:ascii="Arial" w:hAnsi="Arial" w:cs="Arial"/>
                      <w:kern w:val="0"/>
                      <w:sz w:val="22"/>
                      <w:szCs w:val="22"/>
                      <w:highlight w:val="none"/>
                    </w:rPr>
                  </w:pPr>
                  <w:r>
                    <w:rPr>
                      <w:rFonts w:hint="eastAsia"/>
                      <w:b/>
                      <w:sz w:val="22"/>
                      <w:szCs w:val="22"/>
                      <w:highlight w:val="none"/>
                    </w:rPr>
                    <w:t>高密AP</w:t>
                  </w:r>
                </w:p>
              </w:tc>
              <w:tc>
                <w:tcPr>
                  <w:tcW w:w="6298" w:type="dxa"/>
                  <w:tcBorders>
                    <w:top w:val="single" w:color="auto" w:sz="8" w:space="0"/>
                    <w:left w:val="nil"/>
                    <w:bottom w:val="single" w:color="auto" w:sz="8" w:space="0"/>
                    <w:right w:val="single" w:color="000000" w:sz="4" w:space="0"/>
                  </w:tcBorders>
                  <w:noWrap/>
                  <w:vAlign w:val="top"/>
                </w:tcPr>
                <w:p>
                  <w:pPr>
                    <w:widowControl/>
                    <w:adjustRightInd w:val="0"/>
                    <w:snapToGrid w:val="0"/>
                    <w:spacing w:line="240" w:lineRule="exact"/>
                    <w:jc w:val="left"/>
                    <w:rPr>
                      <w:rFonts w:ascii="宋体" w:hAnsi="宋体" w:cs="宋体"/>
                      <w:color w:val="000000"/>
                      <w:kern w:val="0"/>
                      <w:sz w:val="22"/>
                      <w:szCs w:val="22"/>
                      <w:highlight w:val="none"/>
                    </w:rPr>
                  </w:pPr>
                  <w:r>
                    <w:rPr>
                      <w:rFonts w:hint="eastAsia" w:ascii="宋体" w:hAnsi="宋体" w:cs="宋体"/>
                      <w:color w:val="000000"/>
                      <w:kern w:val="0"/>
                      <w:sz w:val="22"/>
                      <w:szCs w:val="22"/>
                      <w:highlight w:val="none"/>
                    </w:rPr>
                    <w:t>固化≥2个10/100/1000Mbps(RJ45)，3频8流，支持双口负载均衡供电；可支持胖/瘦AP两种工作模式，支持POE供电，支持802.11ac协议；整机接入速率≥3G</w:t>
                  </w:r>
                </w:p>
              </w:tc>
              <w:tc>
                <w:tcPr>
                  <w:tcW w:w="661" w:type="dxa"/>
                  <w:tcBorders>
                    <w:top w:val="single" w:color="auto" w:sz="8" w:space="0"/>
                    <w:left w:val="nil"/>
                    <w:bottom w:val="single" w:color="auto" w:sz="8" w:space="0"/>
                    <w:right w:val="single" w:color="000000" w:sz="4" w:space="0"/>
                  </w:tcBorders>
                  <w:noWrap/>
                  <w:vAlign w:val="center"/>
                </w:tcPr>
                <w:p>
                  <w:pPr>
                    <w:jc w:val="center"/>
                    <w:rPr>
                      <w:rFonts w:ascii="Arial" w:hAnsi="Arial" w:cs="Arial"/>
                      <w:kern w:val="0"/>
                      <w:sz w:val="22"/>
                      <w:szCs w:val="22"/>
                      <w:highlight w:val="none"/>
                    </w:rPr>
                  </w:pPr>
                  <w:r>
                    <w:rPr>
                      <w:rFonts w:ascii="Arial" w:hAnsi="Arial" w:cs="Arial"/>
                      <w:kern w:val="0"/>
                      <w:sz w:val="22"/>
                      <w:szCs w:val="22"/>
                      <w:highlight w:val="none"/>
                    </w:rPr>
                    <w:t>800</w:t>
                  </w:r>
                </w:p>
              </w:tc>
            </w:tr>
            <w:tr>
              <w:tblPrEx>
                <w:tblLayout w:type="fixed"/>
                <w:tblCellMar>
                  <w:top w:w="0" w:type="dxa"/>
                  <w:left w:w="28" w:type="dxa"/>
                  <w:bottom w:w="0" w:type="dxa"/>
                  <w:right w:w="28" w:type="dxa"/>
                </w:tblCellMar>
              </w:tblPrEx>
              <w:trPr>
                <w:trHeight w:val="458" w:hRule="atLeast"/>
              </w:trPr>
              <w:tc>
                <w:tcPr>
                  <w:tcW w:w="495" w:type="dxa"/>
                  <w:tcBorders>
                    <w:top w:val="single" w:color="auto" w:sz="8" w:space="0"/>
                    <w:left w:val="single" w:color="000000" w:sz="4" w:space="0"/>
                    <w:bottom w:val="single" w:color="auto" w:sz="8" w:space="0"/>
                    <w:right w:val="single" w:color="000000" w:sz="4" w:space="0"/>
                  </w:tcBorders>
                  <w:noWrap w:val="0"/>
                  <w:vAlign w:val="center"/>
                </w:tcPr>
                <w:p>
                  <w:pPr>
                    <w:jc w:val="center"/>
                    <w:rPr>
                      <w:rFonts w:ascii="Arial" w:hAnsi="Arial" w:cs="Arial"/>
                      <w:kern w:val="0"/>
                      <w:sz w:val="22"/>
                      <w:szCs w:val="22"/>
                      <w:highlight w:val="none"/>
                    </w:rPr>
                  </w:pPr>
                  <w:r>
                    <w:rPr>
                      <w:rFonts w:hint="eastAsia" w:ascii="Arial" w:hAnsi="Arial" w:cs="Arial"/>
                      <w:kern w:val="0"/>
                      <w:sz w:val="22"/>
                      <w:szCs w:val="22"/>
                      <w:highlight w:val="none"/>
                    </w:rPr>
                    <w:t>12</w:t>
                  </w:r>
                </w:p>
              </w:tc>
              <w:tc>
                <w:tcPr>
                  <w:tcW w:w="783" w:type="dxa"/>
                  <w:tcBorders>
                    <w:top w:val="single" w:color="auto" w:sz="8" w:space="0"/>
                    <w:left w:val="single" w:color="000000" w:sz="4" w:space="0"/>
                    <w:bottom w:val="single" w:color="auto" w:sz="8" w:space="0"/>
                    <w:right w:val="single" w:color="000000" w:sz="4" w:space="0"/>
                  </w:tcBorders>
                  <w:noWrap/>
                  <w:vAlign w:val="center"/>
                </w:tcPr>
                <w:p>
                  <w:pPr>
                    <w:jc w:val="center"/>
                    <w:rPr>
                      <w:b/>
                      <w:sz w:val="22"/>
                      <w:szCs w:val="22"/>
                      <w:highlight w:val="none"/>
                    </w:rPr>
                  </w:pPr>
                  <w:r>
                    <w:rPr>
                      <w:rFonts w:hint="eastAsia"/>
                      <w:b/>
                      <w:sz w:val="22"/>
                      <w:szCs w:val="22"/>
                      <w:highlight w:val="none"/>
                    </w:rPr>
                    <w:t>室外AP</w:t>
                  </w:r>
                </w:p>
              </w:tc>
              <w:tc>
                <w:tcPr>
                  <w:tcW w:w="6298" w:type="dxa"/>
                  <w:tcBorders>
                    <w:top w:val="single" w:color="auto" w:sz="8" w:space="0"/>
                    <w:left w:val="nil"/>
                    <w:bottom w:val="single" w:color="auto" w:sz="8" w:space="0"/>
                    <w:right w:val="single" w:color="000000" w:sz="4" w:space="0"/>
                  </w:tcBorders>
                  <w:noWrap/>
                  <w:vAlign w:val="top"/>
                </w:tcPr>
                <w:p>
                  <w:pPr>
                    <w:adjustRightInd w:val="0"/>
                    <w:snapToGrid w:val="0"/>
                    <w:spacing w:line="240" w:lineRule="exact"/>
                    <w:jc w:val="left"/>
                    <w:rPr>
                      <w:rFonts w:ascii="Arial" w:hAnsi="Arial" w:cs="Arial"/>
                      <w:kern w:val="0"/>
                      <w:sz w:val="22"/>
                      <w:szCs w:val="22"/>
                      <w:highlight w:val="none"/>
                    </w:rPr>
                  </w:pPr>
                  <w:r>
                    <w:rPr>
                      <w:rFonts w:hint="eastAsia" w:ascii="Arial" w:hAnsi="Arial" w:cs="Arial"/>
                      <w:kern w:val="0"/>
                      <w:sz w:val="22"/>
                      <w:szCs w:val="22"/>
                      <w:highlight w:val="none"/>
                    </w:rPr>
                    <w:t>单台配置：室外</w:t>
                  </w:r>
                  <w:r>
                    <w:rPr>
                      <w:rFonts w:ascii="Arial" w:hAnsi="Arial" w:cs="Arial"/>
                      <w:kern w:val="0"/>
                      <w:sz w:val="22"/>
                      <w:szCs w:val="22"/>
                      <w:highlight w:val="none"/>
                    </w:rPr>
                    <w:t>双频</w:t>
                  </w:r>
                  <w:r>
                    <w:rPr>
                      <w:rFonts w:hint="eastAsia" w:ascii="Arial" w:hAnsi="Arial" w:cs="Arial"/>
                      <w:kern w:val="0"/>
                      <w:sz w:val="22"/>
                      <w:szCs w:val="22"/>
                      <w:highlight w:val="none"/>
                    </w:rPr>
                    <w:t>AP，</w:t>
                  </w:r>
                  <w:r>
                    <w:rPr>
                      <w:rFonts w:ascii="Arial" w:hAnsi="Arial" w:cs="Arial"/>
                      <w:kern w:val="0"/>
                      <w:sz w:val="22"/>
                      <w:szCs w:val="22"/>
                      <w:highlight w:val="none"/>
                    </w:rPr>
                    <w:t>内置天线</w:t>
                  </w:r>
                  <w:r>
                    <w:rPr>
                      <w:rFonts w:hint="eastAsia" w:ascii="Arial" w:hAnsi="Arial" w:cs="Arial"/>
                      <w:kern w:val="0"/>
                      <w:sz w:val="22"/>
                      <w:szCs w:val="22"/>
                      <w:highlight w:val="none"/>
                    </w:rPr>
                    <w:t>，支持802.11ac Wave2协议，支持MU-MIMO，5GHz频段867Mbps，2.4GHz频段400Mbps，</w:t>
                  </w:r>
                  <w:r>
                    <w:rPr>
                      <w:rFonts w:ascii="Arial" w:hAnsi="Arial" w:cs="Arial"/>
                      <w:kern w:val="0"/>
                      <w:sz w:val="22"/>
                      <w:szCs w:val="22"/>
                      <w:highlight w:val="none"/>
                    </w:rPr>
                    <w:t>整机</w:t>
                  </w:r>
                  <w:r>
                    <w:rPr>
                      <w:rFonts w:hint="eastAsia" w:ascii="Arial" w:hAnsi="Arial" w:cs="Arial"/>
                      <w:kern w:val="0"/>
                      <w:sz w:val="22"/>
                      <w:szCs w:val="22"/>
                      <w:highlight w:val="none"/>
                    </w:rPr>
                    <w:t>1267 Mbps；≥</w:t>
                  </w:r>
                  <w:r>
                    <w:rPr>
                      <w:rFonts w:ascii="Arial" w:hAnsi="Arial" w:cs="Arial"/>
                      <w:kern w:val="0"/>
                      <w:sz w:val="22"/>
                      <w:szCs w:val="22"/>
                      <w:highlight w:val="none"/>
                    </w:rPr>
                    <w:t>2</w:t>
                  </w:r>
                  <w:r>
                    <w:rPr>
                      <w:rFonts w:hint="eastAsia" w:ascii="Arial" w:hAnsi="Arial" w:cs="Arial"/>
                      <w:kern w:val="0"/>
                      <w:sz w:val="22"/>
                      <w:szCs w:val="22"/>
                      <w:highlight w:val="none"/>
                    </w:rPr>
                    <w:t>个（1个</w:t>
                  </w:r>
                  <w:r>
                    <w:rPr>
                      <w:rFonts w:ascii="Arial" w:hAnsi="Arial" w:cs="Arial"/>
                      <w:kern w:val="0"/>
                      <w:sz w:val="22"/>
                      <w:szCs w:val="22"/>
                      <w:highlight w:val="none"/>
                    </w:rPr>
                    <w:t>1000M SFP</w:t>
                  </w:r>
                  <w:r>
                    <w:rPr>
                      <w:rFonts w:hint="eastAsia" w:ascii="Arial" w:hAnsi="Arial" w:cs="Arial"/>
                      <w:kern w:val="0"/>
                      <w:sz w:val="22"/>
                      <w:szCs w:val="22"/>
                      <w:highlight w:val="none"/>
                    </w:rPr>
                    <w:t>光接口、1个</w:t>
                  </w:r>
                  <w:r>
                    <w:rPr>
                      <w:rFonts w:ascii="Arial" w:hAnsi="Arial" w:cs="Arial"/>
                      <w:kern w:val="0"/>
                      <w:sz w:val="22"/>
                      <w:szCs w:val="22"/>
                      <w:highlight w:val="none"/>
                    </w:rPr>
                    <w:t>10/100/1000M</w:t>
                  </w:r>
                  <w:r>
                    <w:rPr>
                      <w:rFonts w:hint="eastAsia" w:ascii="Arial" w:hAnsi="Arial" w:cs="Arial"/>
                      <w:kern w:val="0"/>
                      <w:sz w:val="22"/>
                      <w:szCs w:val="22"/>
                      <w:highlight w:val="none"/>
                    </w:rPr>
                    <w:t>以太网电口）；支持，要求支持物理网扩展能力，物联网端口个数≥</w:t>
                  </w:r>
                  <w:r>
                    <w:rPr>
                      <w:rFonts w:ascii="Arial" w:hAnsi="Arial" w:cs="Arial"/>
                      <w:kern w:val="0"/>
                      <w:sz w:val="22"/>
                      <w:szCs w:val="22"/>
                      <w:highlight w:val="none"/>
                    </w:rPr>
                    <w:t>1</w:t>
                  </w:r>
                  <w:r>
                    <w:rPr>
                      <w:rFonts w:hint="eastAsia" w:ascii="Arial" w:hAnsi="Arial" w:cs="Arial"/>
                      <w:kern w:val="0"/>
                      <w:sz w:val="22"/>
                      <w:szCs w:val="22"/>
                      <w:highlight w:val="none"/>
                    </w:rPr>
                    <w:t xml:space="preserve">；支持对物联网模块的对外输出供电；支持对物联网数据的处理解析；支持RFID、Zigbee等全制式物联网协议的扩展；IP67防护等级； </w:t>
                  </w:r>
                </w:p>
              </w:tc>
              <w:tc>
                <w:tcPr>
                  <w:tcW w:w="661" w:type="dxa"/>
                  <w:tcBorders>
                    <w:top w:val="single" w:color="auto" w:sz="8" w:space="0"/>
                    <w:left w:val="nil"/>
                    <w:bottom w:val="single" w:color="auto" w:sz="8" w:space="0"/>
                    <w:right w:val="single" w:color="000000" w:sz="4" w:space="0"/>
                  </w:tcBorders>
                  <w:noWrap/>
                  <w:vAlign w:val="center"/>
                </w:tcPr>
                <w:p>
                  <w:pPr>
                    <w:jc w:val="center"/>
                    <w:rPr>
                      <w:rFonts w:ascii="Arial" w:hAnsi="Arial" w:cs="Arial"/>
                      <w:kern w:val="0"/>
                      <w:sz w:val="22"/>
                      <w:szCs w:val="22"/>
                      <w:highlight w:val="none"/>
                    </w:rPr>
                  </w:pPr>
                  <w:r>
                    <w:rPr>
                      <w:rFonts w:hint="eastAsia" w:ascii="Arial" w:hAnsi="Arial" w:cs="Arial"/>
                      <w:kern w:val="0"/>
                      <w:sz w:val="22"/>
                      <w:szCs w:val="22"/>
                      <w:highlight w:val="none"/>
                    </w:rPr>
                    <w:t>60</w:t>
                  </w:r>
                </w:p>
              </w:tc>
            </w:tr>
            <w:tr>
              <w:tblPrEx>
                <w:tblLayout w:type="fixed"/>
                <w:tblCellMar>
                  <w:top w:w="0" w:type="dxa"/>
                  <w:left w:w="28" w:type="dxa"/>
                  <w:bottom w:w="0" w:type="dxa"/>
                  <w:right w:w="28" w:type="dxa"/>
                </w:tblCellMar>
              </w:tblPrEx>
              <w:trPr>
                <w:trHeight w:val="458" w:hRule="atLeast"/>
              </w:trPr>
              <w:tc>
                <w:tcPr>
                  <w:tcW w:w="495" w:type="dxa"/>
                  <w:tcBorders>
                    <w:top w:val="single" w:color="auto" w:sz="8" w:space="0"/>
                    <w:left w:val="single" w:color="000000" w:sz="4" w:space="0"/>
                    <w:bottom w:val="single" w:color="auto" w:sz="8" w:space="0"/>
                    <w:right w:val="single" w:color="000000" w:sz="4" w:space="0"/>
                  </w:tcBorders>
                  <w:noWrap w:val="0"/>
                  <w:vAlign w:val="center"/>
                </w:tcPr>
                <w:p>
                  <w:pPr>
                    <w:jc w:val="center"/>
                    <w:rPr>
                      <w:rFonts w:ascii="Arial" w:hAnsi="Arial" w:cs="Arial"/>
                      <w:kern w:val="0"/>
                      <w:sz w:val="22"/>
                      <w:szCs w:val="22"/>
                      <w:highlight w:val="none"/>
                    </w:rPr>
                  </w:pPr>
                  <w:r>
                    <w:rPr>
                      <w:rFonts w:hint="eastAsia" w:ascii="Arial" w:hAnsi="Arial" w:cs="Arial"/>
                      <w:kern w:val="0"/>
                      <w:sz w:val="22"/>
                      <w:szCs w:val="22"/>
                      <w:highlight w:val="none"/>
                    </w:rPr>
                    <w:t>13</w:t>
                  </w:r>
                </w:p>
              </w:tc>
              <w:tc>
                <w:tcPr>
                  <w:tcW w:w="783" w:type="dxa"/>
                  <w:tcBorders>
                    <w:top w:val="single" w:color="auto" w:sz="8" w:space="0"/>
                    <w:left w:val="single" w:color="000000" w:sz="4" w:space="0"/>
                    <w:bottom w:val="single" w:color="auto" w:sz="8" w:space="0"/>
                    <w:right w:val="single" w:color="000000" w:sz="4" w:space="0"/>
                  </w:tcBorders>
                  <w:noWrap/>
                  <w:vAlign w:val="center"/>
                </w:tcPr>
                <w:p>
                  <w:pPr>
                    <w:jc w:val="center"/>
                    <w:rPr>
                      <w:rFonts w:ascii="Arial" w:hAnsi="Arial" w:cs="Arial"/>
                      <w:b/>
                      <w:kern w:val="0"/>
                      <w:sz w:val="22"/>
                      <w:szCs w:val="22"/>
                      <w:highlight w:val="none"/>
                    </w:rPr>
                  </w:pPr>
                  <w:r>
                    <w:rPr>
                      <w:rFonts w:hint="eastAsia" w:ascii="Arial" w:hAnsi="Arial" w:cs="Arial"/>
                      <w:b/>
                      <w:kern w:val="0"/>
                      <w:sz w:val="22"/>
                      <w:szCs w:val="22"/>
                      <w:highlight w:val="none"/>
                    </w:rPr>
                    <w:t>放装AP</w:t>
                  </w:r>
                </w:p>
              </w:tc>
              <w:tc>
                <w:tcPr>
                  <w:tcW w:w="6298" w:type="dxa"/>
                  <w:tcBorders>
                    <w:top w:val="single" w:color="auto" w:sz="8" w:space="0"/>
                    <w:left w:val="nil"/>
                    <w:bottom w:val="single" w:color="auto" w:sz="8" w:space="0"/>
                    <w:right w:val="single" w:color="000000" w:sz="4" w:space="0"/>
                  </w:tcBorders>
                  <w:noWrap/>
                  <w:vAlign w:val="bottom"/>
                </w:tcPr>
                <w:p>
                  <w:pPr>
                    <w:adjustRightInd w:val="0"/>
                    <w:snapToGrid w:val="0"/>
                    <w:spacing w:line="240" w:lineRule="exact"/>
                    <w:jc w:val="left"/>
                    <w:rPr>
                      <w:rFonts w:ascii="Arial" w:hAnsi="Arial" w:cs="Arial"/>
                      <w:kern w:val="0"/>
                      <w:sz w:val="22"/>
                      <w:szCs w:val="22"/>
                      <w:highlight w:val="none"/>
                    </w:rPr>
                  </w:pPr>
                  <w:r>
                    <w:rPr>
                      <w:rFonts w:hint="eastAsia" w:ascii="宋体" w:hAnsi="宋体" w:cs="宋体"/>
                      <w:color w:val="000000"/>
                      <w:kern w:val="0"/>
                      <w:sz w:val="22"/>
                      <w:szCs w:val="22"/>
                      <w:highlight w:val="none"/>
                    </w:rPr>
                    <w:t>可支持胖/瘦AP两种工作模式，支持802.11ac，</w:t>
                  </w:r>
                  <w:r>
                    <w:rPr>
                      <w:rFonts w:ascii="宋体" w:hAnsi="宋体" w:cs="宋体"/>
                      <w:color w:val="000000"/>
                      <w:kern w:val="0"/>
                      <w:sz w:val="22"/>
                      <w:szCs w:val="22"/>
                      <w:highlight w:val="none"/>
                    </w:rPr>
                    <w:t>支持wave2</w:t>
                  </w:r>
                  <w:r>
                    <w:rPr>
                      <w:rFonts w:hint="eastAsia" w:ascii="宋体" w:hAnsi="宋体" w:cs="宋体"/>
                      <w:color w:val="000000"/>
                      <w:kern w:val="0"/>
                      <w:sz w:val="22"/>
                      <w:szCs w:val="22"/>
                      <w:highlight w:val="none"/>
                    </w:rPr>
                    <w:t>协议；≥2个千兆电口，整机速率≥1256M，支持POE供电。</w:t>
                  </w:r>
                </w:p>
              </w:tc>
              <w:tc>
                <w:tcPr>
                  <w:tcW w:w="661" w:type="dxa"/>
                  <w:tcBorders>
                    <w:top w:val="single" w:color="auto" w:sz="8" w:space="0"/>
                    <w:left w:val="nil"/>
                    <w:bottom w:val="single" w:color="auto" w:sz="8" w:space="0"/>
                    <w:right w:val="single" w:color="000000" w:sz="4" w:space="0"/>
                  </w:tcBorders>
                  <w:noWrap/>
                  <w:vAlign w:val="center"/>
                </w:tcPr>
                <w:p>
                  <w:pPr>
                    <w:jc w:val="center"/>
                    <w:rPr>
                      <w:rFonts w:ascii="Arial" w:hAnsi="Arial" w:cs="Arial"/>
                      <w:kern w:val="0"/>
                      <w:sz w:val="22"/>
                      <w:szCs w:val="22"/>
                      <w:highlight w:val="none"/>
                    </w:rPr>
                  </w:pPr>
                  <w:r>
                    <w:rPr>
                      <w:rFonts w:hint="eastAsia" w:ascii="Arial" w:hAnsi="Arial" w:cs="Arial"/>
                      <w:kern w:val="0"/>
                      <w:sz w:val="22"/>
                      <w:szCs w:val="22"/>
                      <w:highlight w:val="none"/>
                    </w:rPr>
                    <w:t>1100</w:t>
                  </w:r>
                </w:p>
              </w:tc>
            </w:tr>
            <w:tr>
              <w:tblPrEx>
                <w:tblLayout w:type="fixed"/>
                <w:tblCellMar>
                  <w:top w:w="0" w:type="dxa"/>
                  <w:left w:w="28" w:type="dxa"/>
                  <w:bottom w:w="0" w:type="dxa"/>
                  <w:right w:w="28" w:type="dxa"/>
                </w:tblCellMar>
              </w:tblPrEx>
              <w:trPr>
                <w:trHeight w:val="458" w:hRule="atLeast"/>
              </w:trPr>
              <w:tc>
                <w:tcPr>
                  <w:tcW w:w="495" w:type="dxa"/>
                  <w:tcBorders>
                    <w:top w:val="single" w:color="auto" w:sz="8" w:space="0"/>
                    <w:left w:val="single" w:color="000000" w:sz="4" w:space="0"/>
                    <w:bottom w:val="single" w:color="auto" w:sz="8" w:space="0"/>
                    <w:right w:val="single" w:color="000000" w:sz="4" w:space="0"/>
                  </w:tcBorders>
                  <w:noWrap w:val="0"/>
                  <w:vAlign w:val="center"/>
                </w:tcPr>
                <w:p>
                  <w:pPr>
                    <w:jc w:val="center"/>
                    <w:rPr>
                      <w:rFonts w:ascii="Arial" w:hAnsi="Arial" w:cs="Arial"/>
                      <w:kern w:val="0"/>
                      <w:sz w:val="22"/>
                      <w:szCs w:val="22"/>
                      <w:highlight w:val="none"/>
                    </w:rPr>
                  </w:pPr>
                  <w:r>
                    <w:rPr>
                      <w:rFonts w:hint="eastAsia" w:ascii="Arial" w:hAnsi="Arial" w:cs="Arial"/>
                      <w:kern w:val="0"/>
                      <w:sz w:val="22"/>
                      <w:szCs w:val="22"/>
                      <w:highlight w:val="none"/>
                    </w:rPr>
                    <w:t>14</w:t>
                  </w:r>
                </w:p>
              </w:tc>
              <w:tc>
                <w:tcPr>
                  <w:tcW w:w="783" w:type="dxa"/>
                  <w:tcBorders>
                    <w:top w:val="single" w:color="auto" w:sz="8" w:space="0"/>
                    <w:left w:val="single" w:color="000000" w:sz="4" w:space="0"/>
                    <w:bottom w:val="single" w:color="auto" w:sz="8" w:space="0"/>
                    <w:right w:val="single" w:color="000000" w:sz="4" w:space="0"/>
                  </w:tcBorders>
                  <w:noWrap/>
                  <w:vAlign w:val="center"/>
                </w:tcPr>
                <w:p>
                  <w:pPr>
                    <w:jc w:val="center"/>
                    <w:rPr>
                      <w:rFonts w:ascii="Arial" w:hAnsi="Arial" w:cs="Arial"/>
                      <w:b/>
                      <w:kern w:val="0"/>
                      <w:sz w:val="22"/>
                      <w:szCs w:val="22"/>
                      <w:highlight w:val="none"/>
                    </w:rPr>
                  </w:pPr>
                  <w:r>
                    <w:rPr>
                      <w:rFonts w:hint="eastAsia"/>
                      <w:b/>
                      <w:sz w:val="22"/>
                      <w:szCs w:val="22"/>
                      <w:highlight w:val="none"/>
                    </w:rPr>
                    <w:t>面板AP</w:t>
                  </w:r>
                </w:p>
              </w:tc>
              <w:tc>
                <w:tcPr>
                  <w:tcW w:w="6298" w:type="dxa"/>
                  <w:tcBorders>
                    <w:top w:val="single" w:color="auto" w:sz="8" w:space="0"/>
                    <w:left w:val="nil"/>
                    <w:bottom w:val="single" w:color="auto" w:sz="8" w:space="0"/>
                    <w:right w:val="single" w:color="000000" w:sz="4" w:space="0"/>
                  </w:tcBorders>
                  <w:noWrap/>
                  <w:vAlign w:val="bottom"/>
                </w:tcPr>
                <w:p>
                  <w:pPr>
                    <w:adjustRightInd w:val="0"/>
                    <w:snapToGrid w:val="0"/>
                    <w:spacing w:line="240" w:lineRule="exact"/>
                    <w:jc w:val="left"/>
                    <w:rPr>
                      <w:rFonts w:ascii="Arial" w:hAnsi="Arial" w:cs="Arial"/>
                      <w:kern w:val="0"/>
                      <w:sz w:val="22"/>
                      <w:szCs w:val="22"/>
                      <w:highlight w:val="none"/>
                    </w:rPr>
                  </w:pPr>
                  <w:r>
                    <w:rPr>
                      <w:rFonts w:hint="eastAsia" w:ascii="Arial" w:hAnsi="Arial" w:cs="Arial"/>
                      <w:kern w:val="0"/>
                      <w:sz w:val="22"/>
                      <w:szCs w:val="22"/>
                      <w:highlight w:val="none"/>
                    </w:rPr>
                    <w:t>1．支持802.11ac Wave2协议</w:t>
                  </w:r>
                </w:p>
                <w:p>
                  <w:pPr>
                    <w:adjustRightInd w:val="0"/>
                    <w:snapToGrid w:val="0"/>
                    <w:spacing w:line="240" w:lineRule="exact"/>
                    <w:jc w:val="left"/>
                    <w:rPr>
                      <w:rFonts w:ascii="Arial" w:hAnsi="Arial" w:cs="Arial"/>
                      <w:kern w:val="0"/>
                      <w:sz w:val="22"/>
                      <w:szCs w:val="22"/>
                      <w:highlight w:val="none"/>
                    </w:rPr>
                  </w:pPr>
                  <w:r>
                    <w:rPr>
                      <w:rFonts w:hint="eastAsia" w:ascii="Arial" w:hAnsi="Arial" w:cs="Arial"/>
                      <w:kern w:val="0"/>
                      <w:sz w:val="22"/>
                      <w:szCs w:val="22"/>
                      <w:highlight w:val="none"/>
                    </w:rPr>
                    <w:t>2．同时支持802.11a/n/ac和802.11b/g/n工作802.11ac/n/a : 5.725GHz-5.850GHz ; 5.15~5.35GHz (中国)；</w:t>
                  </w:r>
                </w:p>
                <w:p>
                  <w:pPr>
                    <w:adjustRightInd w:val="0"/>
                    <w:snapToGrid w:val="0"/>
                    <w:spacing w:line="240" w:lineRule="exact"/>
                    <w:jc w:val="left"/>
                    <w:rPr>
                      <w:rFonts w:ascii="Arial" w:hAnsi="Arial" w:cs="Arial"/>
                      <w:kern w:val="0"/>
                      <w:sz w:val="22"/>
                      <w:szCs w:val="22"/>
                      <w:highlight w:val="none"/>
                    </w:rPr>
                  </w:pPr>
                  <w:r>
                    <w:rPr>
                      <w:rFonts w:hint="eastAsia" w:ascii="Arial" w:hAnsi="Arial" w:cs="Arial"/>
                      <w:kern w:val="0"/>
                      <w:sz w:val="22"/>
                      <w:szCs w:val="22"/>
                      <w:highlight w:val="none"/>
                    </w:rPr>
                    <w:t>802.11b/g/n : 2.4GHz-2.483GHz (中国), 2.4GHz/5GHz双频段同时工作；</w:t>
                  </w:r>
                </w:p>
                <w:p>
                  <w:pPr>
                    <w:adjustRightInd w:val="0"/>
                    <w:snapToGrid w:val="0"/>
                    <w:spacing w:line="240" w:lineRule="exact"/>
                    <w:jc w:val="left"/>
                    <w:rPr>
                      <w:rFonts w:ascii="Arial" w:hAnsi="Arial" w:cs="Arial"/>
                      <w:kern w:val="0"/>
                      <w:sz w:val="22"/>
                      <w:szCs w:val="22"/>
                      <w:highlight w:val="none"/>
                    </w:rPr>
                  </w:pPr>
                  <w:r>
                    <w:rPr>
                      <w:rFonts w:hint="eastAsia" w:ascii="Arial" w:hAnsi="Arial" w:cs="Arial"/>
                      <w:kern w:val="0"/>
                      <w:sz w:val="22"/>
                      <w:szCs w:val="22"/>
                      <w:highlight w:val="none"/>
                    </w:rPr>
                    <w:t>3．要求整机最大协商速率≥1267Mbp；</w:t>
                  </w:r>
                </w:p>
                <w:p>
                  <w:pPr>
                    <w:adjustRightInd w:val="0"/>
                    <w:snapToGrid w:val="0"/>
                    <w:spacing w:line="240" w:lineRule="exact"/>
                    <w:jc w:val="left"/>
                    <w:rPr>
                      <w:rFonts w:ascii="Arial" w:hAnsi="Arial" w:cs="Arial"/>
                      <w:kern w:val="0"/>
                      <w:sz w:val="22"/>
                      <w:szCs w:val="22"/>
                      <w:highlight w:val="none"/>
                    </w:rPr>
                  </w:pPr>
                  <w:r>
                    <w:rPr>
                      <w:rFonts w:hint="eastAsia" w:ascii="Arial" w:hAnsi="Arial" w:cs="Arial"/>
                      <w:kern w:val="0"/>
                      <w:sz w:val="22"/>
                      <w:szCs w:val="22"/>
                      <w:highlight w:val="none"/>
                    </w:rPr>
                    <w:t>4．≥4个10/100/1000Mbps(RJ45)下行口；≥1个；10/100/1000Mbps(RJ45)透传口；≥1个10/100/1000Mbps(RJ45)。</w:t>
                  </w:r>
                </w:p>
              </w:tc>
              <w:tc>
                <w:tcPr>
                  <w:tcW w:w="661" w:type="dxa"/>
                  <w:tcBorders>
                    <w:top w:val="single" w:color="auto" w:sz="8" w:space="0"/>
                    <w:left w:val="nil"/>
                    <w:bottom w:val="single" w:color="auto" w:sz="8" w:space="0"/>
                    <w:right w:val="single" w:color="000000" w:sz="4" w:space="0"/>
                  </w:tcBorders>
                  <w:noWrap/>
                  <w:vAlign w:val="center"/>
                </w:tcPr>
                <w:p>
                  <w:pPr>
                    <w:jc w:val="center"/>
                    <w:rPr>
                      <w:rFonts w:ascii="Arial" w:hAnsi="Arial" w:cs="Arial"/>
                      <w:kern w:val="0"/>
                      <w:sz w:val="22"/>
                      <w:szCs w:val="22"/>
                      <w:highlight w:val="none"/>
                    </w:rPr>
                  </w:pPr>
                  <w:r>
                    <w:rPr>
                      <w:rFonts w:hint="eastAsia" w:ascii="Arial" w:hAnsi="Arial" w:cs="Arial"/>
                      <w:kern w:val="0"/>
                      <w:sz w:val="22"/>
                      <w:szCs w:val="22"/>
                      <w:highlight w:val="none"/>
                    </w:rPr>
                    <w:t>300</w:t>
                  </w:r>
                </w:p>
              </w:tc>
            </w:tr>
            <w:tr>
              <w:tblPrEx>
                <w:tblLayout w:type="fixed"/>
                <w:tblCellMar>
                  <w:top w:w="0" w:type="dxa"/>
                  <w:left w:w="28" w:type="dxa"/>
                  <w:bottom w:w="0" w:type="dxa"/>
                  <w:right w:w="28" w:type="dxa"/>
                </w:tblCellMar>
              </w:tblPrEx>
              <w:trPr>
                <w:trHeight w:val="458" w:hRule="atLeast"/>
              </w:trPr>
              <w:tc>
                <w:tcPr>
                  <w:tcW w:w="495" w:type="dxa"/>
                  <w:tcBorders>
                    <w:top w:val="single" w:color="auto" w:sz="8" w:space="0"/>
                    <w:left w:val="single" w:color="000000" w:sz="4" w:space="0"/>
                    <w:bottom w:val="single" w:color="auto" w:sz="8" w:space="0"/>
                    <w:right w:val="single" w:color="000000" w:sz="4" w:space="0"/>
                  </w:tcBorders>
                  <w:noWrap w:val="0"/>
                  <w:vAlign w:val="center"/>
                </w:tcPr>
                <w:p>
                  <w:pPr>
                    <w:jc w:val="center"/>
                    <w:rPr>
                      <w:rFonts w:ascii="Arial" w:hAnsi="Arial" w:cs="Arial"/>
                      <w:kern w:val="0"/>
                      <w:sz w:val="22"/>
                      <w:szCs w:val="22"/>
                      <w:highlight w:val="none"/>
                    </w:rPr>
                  </w:pPr>
                  <w:r>
                    <w:rPr>
                      <w:rFonts w:hint="eastAsia" w:ascii="Arial" w:hAnsi="Arial" w:cs="Arial"/>
                      <w:kern w:val="0"/>
                      <w:sz w:val="22"/>
                      <w:szCs w:val="22"/>
                      <w:highlight w:val="none"/>
                    </w:rPr>
                    <w:t>15</w:t>
                  </w:r>
                </w:p>
              </w:tc>
              <w:tc>
                <w:tcPr>
                  <w:tcW w:w="783" w:type="dxa"/>
                  <w:tcBorders>
                    <w:top w:val="single" w:color="auto" w:sz="8" w:space="0"/>
                    <w:left w:val="single" w:color="000000" w:sz="4" w:space="0"/>
                    <w:bottom w:val="single" w:color="auto" w:sz="8" w:space="0"/>
                    <w:right w:val="single" w:color="000000" w:sz="4" w:space="0"/>
                  </w:tcBorders>
                  <w:noWrap/>
                  <w:vAlign w:val="center"/>
                </w:tcPr>
                <w:p>
                  <w:pPr>
                    <w:adjustRightInd w:val="0"/>
                    <w:snapToGrid w:val="0"/>
                    <w:spacing w:line="240" w:lineRule="exact"/>
                    <w:jc w:val="left"/>
                    <w:rPr>
                      <w:rFonts w:ascii="Arial" w:hAnsi="Arial" w:cs="Arial"/>
                      <w:b/>
                      <w:kern w:val="0"/>
                      <w:sz w:val="22"/>
                      <w:szCs w:val="22"/>
                      <w:highlight w:val="none"/>
                    </w:rPr>
                  </w:pPr>
                  <w:r>
                    <w:rPr>
                      <w:rFonts w:ascii="Arial" w:hAnsi="Arial" w:cs="Arial"/>
                      <w:b/>
                      <w:kern w:val="0"/>
                      <w:sz w:val="22"/>
                      <w:szCs w:val="22"/>
                      <w:highlight w:val="none"/>
                    </w:rPr>
                    <w:t>48口接入交换机</w:t>
                  </w:r>
                </w:p>
              </w:tc>
              <w:tc>
                <w:tcPr>
                  <w:tcW w:w="6298" w:type="dxa"/>
                  <w:tcBorders>
                    <w:top w:val="single" w:color="auto" w:sz="8" w:space="0"/>
                    <w:left w:val="nil"/>
                    <w:bottom w:val="single" w:color="auto" w:sz="8" w:space="0"/>
                    <w:right w:val="single" w:color="000000" w:sz="4" w:space="0"/>
                  </w:tcBorders>
                  <w:noWrap/>
                  <w:vAlign w:val="top"/>
                </w:tcPr>
                <w:p>
                  <w:pPr>
                    <w:adjustRightInd w:val="0"/>
                    <w:snapToGrid w:val="0"/>
                    <w:spacing w:line="240" w:lineRule="exact"/>
                    <w:rPr>
                      <w:rFonts w:ascii="Arial" w:hAnsi="Arial" w:cs="Arial"/>
                      <w:kern w:val="0"/>
                      <w:sz w:val="22"/>
                      <w:szCs w:val="22"/>
                      <w:highlight w:val="none"/>
                    </w:rPr>
                  </w:pPr>
                  <w:r>
                    <w:rPr>
                      <w:rFonts w:hint="eastAsia" w:ascii="Arial" w:hAnsi="Arial" w:cs="Arial"/>
                      <w:kern w:val="0"/>
                      <w:sz w:val="22"/>
                      <w:szCs w:val="22"/>
                      <w:highlight w:val="none"/>
                    </w:rPr>
                    <w:t>交换容量≥3.3T，包转发≥130Mpps；固化≥48个10/100/1000Base-T以太网端口，≥4个1000Base-X以太网端口；支持10KV防雷</w:t>
                  </w:r>
                </w:p>
              </w:tc>
              <w:tc>
                <w:tcPr>
                  <w:tcW w:w="661" w:type="dxa"/>
                  <w:tcBorders>
                    <w:top w:val="single" w:color="auto" w:sz="8" w:space="0"/>
                    <w:left w:val="nil"/>
                    <w:bottom w:val="single" w:color="auto" w:sz="8" w:space="0"/>
                    <w:right w:val="single" w:color="000000" w:sz="4" w:space="0"/>
                  </w:tcBorders>
                  <w:noWrap/>
                  <w:vAlign w:val="center"/>
                </w:tcPr>
                <w:p>
                  <w:pPr>
                    <w:jc w:val="center"/>
                    <w:rPr>
                      <w:rFonts w:ascii="Arial" w:hAnsi="Arial" w:cs="Arial"/>
                      <w:kern w:val="0"/>
                      <w:sz w:val="22"/>
                      <w:szCs w:val="22"/>
                      <w:highlight w:val="none"/>
                    </w:rPr>
                  </w:pPr>
                  <w:r>
                    <w:rPr>
                      <w:rFonts w:hint="eastAsia" w:ascii="Arial" w:hAnsi="Arial" w:cs="Arial"/>
                      <w:kern w:val="0"/>
                      <w:sz w:val="22"/>
                      <w:szCs w:val="22"/>
                      <w:highlight w:val="none"/>
                    </w:rPr>
                    <w:t>300</w:t>
                  </w:r>
                </w:p>
              </w:tc>
            </w:tr>
            <w:tr>
              <w:tblPrEx>
                <w:tblLayout w:type="fixed"/>
                <w:tblCellMar>
                  <w:top w:w="0" w:type="dxa"/>
                  <w:left w:w="28" w:type="dxa"/>
                  <w:bottom w:w="0" w:type="dxa"/>
                  <w:right w:w="28" w:type="dxa"/>
                </w:tblCellMar>
              </w:tblPrEx>
              <w:trPr>
                <w:trHeight w:val="458" w:hRule="atLeast"/>
              </w:trPr>
              <w:tc>
                <w:tcPr>
                  <w:tcW w:w="495" w:type="dxa"/>
                  <w:tcBorders>
                    <w:top w:val="single" w:color="auto" w:sz="8" w:space="0"/>
                    <w:left w:val="single" w:color="000000" w:sz="4" w:space="0"/>
                    <w:bottom w:val="single" w:color="auto" w:sz="8" w:space="0"/>
                    <w:right w:val="single" w:color="000000" w:sz="4" w:space="0"/>
                  </w:tcBorders>
                  <w:noWrap w:val="0"/>
                  <w:vAlign w:val="center"/>
                </w:tcPr>
                <w:p>
                  <w:pPr>
                    <w:jc w:val="center"/>
                    <w:rPr>
                      <w:rFonts w:ascii="Arial" w:hAnsi="Arial" w:cs="Arial"/>
                      <w:kern w:val="0"/>
                      <w:sz w:val="22"/>
                      <w:szCs w:val="22"/>
                      <w:highlight w:val="none"/>
                    </w:rPr>
                  </w:pPr>
                  <w:r>
                    <w:rPr>
                      <w:rFonts w:hint="eastAsia" w:ascii="Arial" w:hAnsi="Arial" w:cs="Arial"/>
                      <w:kern w:val="0"/>
                      <w:sz w:val="22"/>
                      <w:szCs w:val="22"/>
                      <w:highlight w:val="none"/>
                    </w:rPr>
                    <w:t>16</w:t>
                  </w:r>
                </w:p>
              </w:tc>
              <w:tc>
                <w:tcPr>
                  <w:tcW w:w="783" w:type="dxa"/>
                  <w:tcBorders>
                    <w:top w:val="single" w:color="auto" w:sz="8" w:space="0"/>
                    <w:left w:val="single" w:color="000000" w:sz="4" w:space="0"/>
                    <w:bottom w:val="single" w:color="auto" w:sz="8" w:space="0"/>
                    <w:right w:val="single" w:color="000000" w:sz="4" w:space="0"/>
                  </w:tcBorders>
                  <w:noWrap/>
                  <w:vAlign w:val="center"/>
                </w:tcPr>
                <w:p>
                  <w:pPr>
                    <w:adjustRightInd w:val="0"/>
                    <w:snapToGrid w:val="0"/>
                    <w:spacing w:line="240" w:lineRule="exact"/>
                    <w:jc w:val="left"/>
                    <w:rPr>
                      <w:rFonts w:ascii="Arial" w:hAnsi="Arial" w:cs="Arial"/>
                      <w:kern w:val="0"/>
                      <w:sz w:val="22"/>
                      <w:szCs w:val="22"/>
                      <w:highlight w:val="none"/>
                    </w:rPr>
                  </w:pPr>
                  <w:r>
                    <w:rPr>
                      <w:rFonts w:ascii="Arial" w:hAnsi="Arial" w:cs="Arial"/>
                      <w:b/>
                      <w:bCs/>
                      <w:kern w:val="0"/>
                      <w:sz w:val="22"/>
                      <w:szCs w:val="22"/>
                      <w:highlight w:val="none"/>
                    </w:rPr>
                    <w:t>SDN服务器</w:t>
                  </w:r>
                </w:p>
              </w:tc>
              <w:tc>
                <w:tcPr>
                  <w:tcW w:w="6298" w:type="dxa"/>
                  <w:tcBorders>
                    <w:top w:val="single" w:color="auto" w:sz="8" w:space="0"/>
                    <w:left w:val="nil"/>
                    <w:bottom w:val="single" w:color="auto" w:sz="8" w:space="0"/>
                    <w:right w:val="single" w:color="000000" w:sz="4" w:space="0"/>
                  </w:tcBorders>
                  <w:noWrap/>
                  <w:vAlign w:val="top"/>
                </w:tcPr>
                <w:p>
                  <w:pPr>
                    <w:widowControl/>
                    <w:adjustRightInd w:val="0"/>
                    <w:snapToGrid w:val="0"/>
                    <w:spacing w:line="240" w:lineRule="exact"/>
                    <w:jc w:val="left"/>
                    <w:rPr>
                      <w:rFonts w:ascii="Arial" w:hAnsi="Arial" w:cs="Arial"/>
                      <w:kern w:val="0"/>
                      <w:sz w:val="22"/>
                      <w:szCs w:val="22"/>
                      <w:highlight w:val="none"/>
                    </w:rPr>
                  </w:pPr>
                  <w:r>
                    <w:rPr>
                      <w:rFonts w:hint="eastAsia" w:ascii="Arial" w:hAnsi="Arial" w:cs="Arial"/>
                      <w:kern w:val="0"/>
                      <w:sz w:val="22"/>
                      <w:szCs w:val="22"/>
                      <w:highlight w:val="none"/>
                    </w:rPr>
                    <w:t>配置三台硬件承载平台；单台配置≥2颗处理器，性能≥2630V4((2.2GHz/10核/25MB/85W)；单台配置≥2*32GB DDR4内存，900G SAS盘两块，1块1G缓存RAID卡，双电源，含DVD光驱、导轨、安全面板；单台配置≥4端口千兆电接口，≥2端口万兆光接口（含万兆多模模块）。</w:t>
                  </w:r>
                </w:p>
              </w:tc>
              <w:tc>
                <w:tcPr>
                  <w:tcW w:w="661" w:type="dxa"/>
                  <w:tcBorders>
                    <w:top w:val="single" w:color="auto" w:sz="8" w:space="0"/>
                    <w:left w:val="nil"/>
                    <w:bottom w:val="single" w:color="auto" w:sz="8" w:space="0"/>
                    <w:right w:val="single" w:color="000000" w:sz="4" w:space="0"/>
                  </w:tcBorders>
                  <w:noWrap/>
                  <w:vAlign w:val="center"/>
                </w:tcPr>
                <w:p>
                  <w:pPr>
                    <w:jc w:val="center"/>
                    <w:rPr>
                      <w:rFonts w:ascii="Arial" w:hAnsi="Arial" w:cs="Arial"/>
                      <w:kern w:val="0"/>
                      <w:sz w:val="22"/>
                      <w:szCs w:val="22"/>
                      <w:highlight w:val="none"/>
                    </w:rPr>
                  </w:pPr>
                  <w:r>
                    <w:rPr>
                      <w:rFonts w:hint="eastAsia" w:ascii="Arial" w:hAnsi="Arial" w:cs="Arial"/>
                      <w:kern w:val="0"/>
                      <w:sz w:val="22"/>
                      <w:szCs w:val="22"/>
                      <w:highlight w:val="none"/>
                    </w:rPr>
                    <w:t>3</w:t>
                  </w:r>
                </w:p>
              </w:tc>
            </w:tr>
            <w:tr>
              <w:tblPrEx>
                <w:tblLayout w:type="fixed"/>
                <w:tblCellMar>
                  <w:top w:w="0" w:type="dxa"/>
                  <w:left w:w="28" w:type="dxa"/>
                  <w:bottom w:w="0" w:type="dxa"/>
                  <w:right w:w="28" w:type="dxa"/>
                </w:tblCellMar>
              </w:tblPrEx>
              <w:trPr>
                <w:trHeight w:val="458" w:hRule="atLeast"/>
              </w:trPr>
              <w:tc>
                <w:tcPr>
                  <w:tcW w:w="495" w:type="dxa"/>
                  <w:tcBorders>
                    <w:top w:val="single" w:color="auto" w:sz="8" w:space="0"/>
                    <w:left w:val="single" w:color="000000" w:sz="4" w:space="0"/>
                    <w:bottom w:val="single" w:color="000000" w:sz="4" w:space="0"/>
                    <w:right w:val="single" w:color="000000" w:sz="4" w:space="0"/>
                  </w:tcBorders>
                  <w:noWrap w:val="0"/>
                  <w:vAlign w:val="center"/>
                </w:tcPr>
                <w:p>
                  <w:pPr>
                    <w:jc w:val="center"/>
                    <w:rPr>
                      <w:rFonts w:ascii="Arial" w:hAnsi="Arial" w:cs="Arial"/>
                      <w:kern w:val="0"/>
                      <w:sz w:val="22"/>
                      <w:szCs w:val="22"/>
                      <w:highlight w:val="none"/>
                    </w:rPr>
                  </w:pPr>
                  <w:r>
                    <w:rPr>
                      <w:rFonts w:hint="eastAsia" w:ascii="Arial" w:hAnsi="Arial" w:cs="Arial"/>
                      <w:kern w:val="0"/>
                      <w:sz w:val="22"/>
                      <w:szCs w:val="22"/>
                      <w:highlight w:val="none"/>
                    </w:rPr>
                    <w:t>17</w:t>
                  </w:r>
                </w:p>
              </w:tc>
              <w:tc>
                <w:tcPr>
                  <w:tcW w:w="783" w:type="dxa"/>
                  <w:tcBorders>
                    <w:top w:val="single" w:color="auto" w:sz="8" w:space="0"/>
                    <w:left w:val="single" w:color="000000" w:sz="4" w:space="0"/>
                    <w:bottom w:val="single" w:color="000000" w:sz="4" w:space="0"/>
                    <w:right w:val="single" w:color="000000" w:sz="4" w:space="0"/>
                  </w:tcBorders>
                  <w:noWrap/>
                  <w:vAlign w:val="center"/>
                </w:tcPr>
                <w:p>
                  <w:pPr>
                    <w:adjustRightInd w:val="0"/>
                    <w:snapToGrid w:val="0"/>
                    <w:spacing w:line="240" w:lineRule="exact"/>
                    <w:jc w:val="left"/>
                    <w:rPr>
                      <w:rFonts w:ascii="Arial" w:hAnsi="Arial" w:cs="Arial"/>
                      <w:kern w:val="0"/>
                      <w:sz w:val="22"/>
                      <w:szCs w:val="22"/>
                      <w:highlight w:val="none"/>
                    </w:rPr>
                  </w:pPr>
                  <w:r>
                    <w:rPr>
                      <w:rFonts w:ascii="Arial" w:hAnsi="Arial" w:cs="Arial"/>
                      <w:b/>
                      <w:bCs/>
                      <w:kern w:val="0"/>
                      <w:sz w:val="22"/>
                      <w:szCs w:val="22"/>
                      <w:highlight w:val="none"/>
                    </w:rPr>
                    <w:t>SDN控制器</w:t>
                  </w:r>
                </w:p>
              </w:tc>
              <w:tc>
                <w:tcPr>
                  <w:tcW w:w="6298" w:type="dxa"/>
                  <w:tcBorders>
                    <w:top w:val="single" w:color="auto" w:sz="8" w:space="0"/>
                    <w:left w:val="nil"/>
                    <w:bottom w:val="single" w:color="000000" w:sz="4" w:space="0"/>
                    <w:right w:val="single" w:color="000000" w:sz="4" w:space="0"/>
                  </w:tcBorders>
                  <w:noWrap/>
                  <w:vAlign w:val="top"/>
                </w:tcPr>
                <w:p>
                  <w:pPr>
                    <w:widowControl/>
                    <w:adjustRightInd w:val="0"/>
                    <w:snapToGrid w:val="0"/>
                    <w:spacing w:line="240" w:lineRule="exact"/>
                    <w:jc w:val="left"/>
                    <w:rPr>
                      <w:rFonts w:ascii="Arial" w:hAnsi="Arial" w:cs="Arial"/>
                      <w:kern w:val="0"/>
                      <w:sz w:val="22"/>
                      <w:szCs w:val="22"/>
                      <w:highlight w:val="none"/>
                    </w:rPr>
                  </w:pPr>
                  <w:r>
                    <w:rPr>
                      <w:rFonts w:hint="eastAsia" w:ascii="Arial" w:hAnsi="Arial" w:cs="Arial"/>
                      <w:kern w:val="0"/>
                      <w:sz w:val="22"/>
                      <w:szCs w:val="22"/>
                      <w:highlight w:val="none"/>
                    </w:rPr>
                    <w:t>平台支持自行开户功能，可实现设备自动上线，支持分级分权多租户精细化运维管理功能，可实现对无线控制器、无线AP的统一管理，可实现网络配置、网络规划、增加设备的操作，支持固定账号认证、portal认证、短信认证功能，支持终端用户认证类型人数统计功能，支持终端操作系统识别功能，支持显示在网终端系统类型统计功能；支持终端驻留时间统计功能，实配 AP下线，软件升级失败等告警功能，支持短信通知或微信通知功能，实配空口资源、负载测量功能，提供无线优化参考数据，对关键链路的实时状态具备智能检测功能，若状态发生变化，能够智能快速的定位故障点，并支持以多种告警形式通知管理员，以便使网络尽快恢复正常；提供工具宝箱，用户可自定义常用功能界面，提供常用协议号查询、常用端口号查询、MAC厂商查询、FTP客户端查询、FTP服务器查询、TFTP服务器查询、IP地址划分、IP地址归属查询、条件申请查询、设备维保查询、板卡配套查询、快速Ping扫描查询、报文格式查询、日志转读查询、序列号二维码、命令查询、ACL信息查询等；有线应用驱动功能与无线应用驱动功能（分别配置500个与2000个授权许可）；具备应用驱动智能终端接入组件功能（配置10000个授权许可），实配业务编排功能与HA高可靠性功能</w:t>
                  </w:r>
                </w:p>
                <w:p>
                  <w:pPr>
                    <w:adjustRightInd w:val="0"/>
                    <w:snapToGrid w:val="0"/>
                    <w:spacing w:line="240" w:lineRule="exact"/>
                    <w:jc w:val="left"/>
                    <w:rPr>
                      <w:rFonts w:ascii="Arial" w:hAnsi="Arial" w:cs="Arial"/>
                      <w:kern w:val="0"/>
                      <w:sz w:val="22"/>
                      <w:szCs w:val="22"/>
                      <w:highlight w:val="none"/>
                    </w:rPr>
                  </w:pPr>
                </w:p>
              </w:tc>
              <w:tc>
                <w:tcPr>
                  <w:tcW w:w="661" w:type="dxa"/>
                  <w:tcBorders>
                    <w:top w:val="single" w:color="auto" w:sz="8" w:space="0"/>
                    <w:left w:val="nil"/>
                    <w:bottom w:val="single" w:color="000000" w:sz="4" w:space="0"/>
                    <w:right w:val="single" w:color="000000" w:sz="4" w:space="0"/>
                  </w:tcBorders>
                  <w:noWrap/>
                  <w:vAlign w:val="center"/>
                </w:tcPr>
                <w:p>
                  <w:pPr>
                    <w:jc w:val="center"/>
                    <w:rPr>
                      <w:rFonts w:ascii="Arial" w:hAnsi="Arial" w:cs="Arial"/>
                      <w:kern w:val="0"/>
                      <w:sz w:val="22"/>
                      <w:szCs w:val="22"/>
                      <w:highlight w:val="none"/>
                    </w:rPr>
                  </w:pPr>
                  <w:r>
                    <w:rPr>
                      <w:rFonts w:hint="eastAsia" w:ascii="Arial" w:hAnsi="Arial" w:cs="Arial"/>
                      <w:kern w:val="0"/>
                      <w:sz w:val="22"/>
                      <w:szCs w:val="22"/>
                      <w:highlight w:val="none"/>
                    </w:rPr>
                    <w:t>2</w:t>
                  </w:r>
                </w:p>
              </w:tc>
            </w:tr>
            <w:tr>
              <w:tblPrEx>
                <w:tblLayout w:type="fixed"/>
                <w:tblCellMar>
                  <w:top w:w="0" w:type="dxa"/>
                  <w:left w:w="28" w:type="dxa"/>
                  <w:bottom w:w="0" w:type="dxa"/>
                  <w:right w:w="28" w:type="dxa"/>
                </w:tblCellMar>
              </w:tblPrEx>
              <w:trPr>
                <w:trHeight w:val="458" w:hRule="atLeast"/>
              </w:trPr>
              <w:tc>
                <w:tcPr>
                  <w:tcW w:w="495" w:type="dxa"/>
                  <w:tcBorders>
                    <w:top w:val="single" w:color="auto" w:sz="8" w:space="0"/>
                    <w:left w:val="single" w:color="000000" w:sz="4" w:space="0"/>
                    <w:bottom w:val="single" w:color="000000" w:sz="4" w:space="0"/>
                    <w:right w:val="single" w:color="000000" w:sz="4" w:space="0"/>
                  </w:tcBorders>
                  <w:noWrap w:val="0"/>
                  <w:vAlign w:val="center"/>
                </w:tcPr>
                <w:p>
                  <w:pPr>
                    <w:jc w:val="center"/>
                    <w:rPr>
                      <w:rFonts w:ascii="Arial" w:hAnsi="Arial" w:cs="Arial"/>
                      <w:kern w:val="0"/>
                      <w:sz w:val="22"/>
                      <w:szCs w:val="22"/>
                      <w:highlight w:val="none"/>
                    </w:rPr>
                  </w:pPr>
                  <w:r>
                    <w:rPr>
                      <w:rFonts w:hint="eastAsia" w:ascii="Arial" w:hAnsi="Arial" w:cs="Arial"/>
                      <w:kern w:val="0"/>
                      <w:sz w:val="22"/>
                      <w:szCs w:val="22"/>
                      <w:highlight w:val="none"/>
                    </w:rPr>
                    <w:t>18</w:t>
                  </w:r>
                </w:p>
              </w:tc>
              <w:tc>
                <w:tcPr>
                  <w:tcW w:w="783" w:type="dxa"/>
                  <w:tcBorders>
                    <w:top w:val="single" w:color="auto" w:sz="8" w:space="0"/>
                    <w:left w:val="single" w:color="000000" w:sz="4" w:space="0"/>
                    <w:bottom w:val="single" w:color="000000" w:sz="4" w:space="0"/>
                    <w:right w:val="single" w:color="000000" w:sz="4" w:space="0"/>
                  </w:tcBorders>
                  <w:noWrap/>
                  <w:vAlign w:val="center"/>
                </w:tcPr>
                <w:p>
                  <w:pPr>
                    <w:adjustRightInd w:val="0"/>
                    <w:snapToGrid w:val="0"/>
                    <w:spacing w:line="240" w:lineRule="exact"/>
                    <w:jc w:val="left"/>
                    <w:rPr>
                      <w:rFonts w:ascii="Arial" w:hAnsi="Arial" w:cs="Arial"/>
                      <w:b/>
                      <w:bCs/>
                      <w:kern w:val="0"/>
                      <w:sz w:val="22"/>
                      <w:szCs w:val="22"/>
                      <w:highlight w:val="none"/>
                    </w:rPr>
                  </w:pPr>
                  <w:r>
                    <w:rPr>
                      <w:rFonts w:hint="eastAsia" w:ascii="Arial" w:hAnsi="Arial" w:cs="Arial"/>
                      <w:b/>
                      <w:bCs/>
                      <w:kern w:val="0"/>
                      <w:sz w:val="22"/>
                      <w:szCs w:val="22"/>
                      <w:highlight w:val="none"/>
                    </w:rPr>
                    <w:t>3</w:t>
                  </w:r>
                </w:p>
              </w:tc>
              <w:tc>
                <w:tcPr>
                  <w:tcW w:w="6298" w:type="dxa"/>
                  <w:tcBorders>
                    <w:top w:val="single" w:color="auto" w:sz="8" w:space="0"/>
                    <w:left w:val="nil"/>
                    <w:bottom w:val="single" w:color="000000" w:sz="4" w:space="0"/>
                    <w:right w:val="single" w:color="000000" w:sz="4" w:space="0"/>
                  </w:tcBorders>
                  <w:noWrap/>
                  <w:vAlign w:val="top"/>
                </w:tcPr>
                <w:p>
                  <w:pPr>
                    <w:widowControl/>
                    <w:adjustRightInd w:val="0"/>
                    <w:snapToGrid w:val="0"/>
                    <w:spacing w:line="240" w:lineRule="exact"/>
                    <w:jc w:val="left"/>
                    <w:rPr>
                      <w:rFonts w:ascii="Arial" w:hAnsi="Arial" w:cs="Arial"/>
                      <w:kern w:val="0"/>
                      <w:sz w:val="22"/>
                      <w:szCs w:val="22"/>
                      <w:highlight w:val="none"/>
                    </w:rPr>
                  </w:pPr>
                  <w:r>
                    <w:rPr>
                      <w:rFonts w:hint="eastAsia" w:ascii="Arial" w:hAnsi="Arial" w:cs="Arial"/>
                      <w:kern w:val="0"/>
                      <w:sz w:val="22"/>
                      <w:szCs w:val="22"/>
                      <w:highlight w:val="none"/>
                    </w:rPr>
                    <w:t>1)认证系统必须由自主研发软件和硬件组成，硬件必须信息产业部正式入网，支持硬件和后台管理软件配置、数据互备，网关有定时备份功能，软件宕机，硬件保存软件配置的所有功能及数据，不影响用户认证及上网。</w:t>
                  </w:r>
                </w:p>
                <w:p>
                  <w:pPr>
                    <w:widowControl/>
                    <w:adjustRightInd w:val="0"/>
                    <w:snapToGrid w:val="0"/>
                    <w:spacing w:line="240" w:lineRule="exact"/>
                    <w:jc w:val="left"/>
                    <w:rPr>
                      <w:rFonts w:ascii="Arial" w:hAnsi="Arial" w:cs="Arial"/>
                      <w:kern w:val="0"/>
                      <w:sz w:val="22"/>
                      <w:szCs w:val="22"/>
                      <w:highlight w:val="none"/>
                    </w:rPr>
                  </w:pPr>
                  <w:r>
                    <w:rPr>
                      <w:rFonts w:hint="eastAsia" w:ascii="Arial" w:hAnsi="Arial" w:cs="Arial"/>
                      <w:kern w:val="0"/>
                      <w:sz w:val="22"/>
                      <w:szCs w:val="22"/>
                      <w:highlight w:val="none"/>
                    </w:rPr>
                    <w:t>2)支持对第三方AP的认证，能在不同品牌AP之间实现漫游认证,实现统一数据源。</w:t>
                  </w:r>
                </w:p>
                <w:p>
                  <w:pPr>
                    <w:widowControl/>
                    <w:adjustRightInd w:val="0"/>
                    <w:snapToGrid w:val="0"/>
                    <w:spacing w:line="240" w:lineRule="exact"/>
                    <w:jc w:val="left"/>
                    <w:rPr>
                      <w:rFonts w:ascii="Arial" w:hAnsi="Arial" w:cs="Arial"/>
                      <w:kern w:val="0"/>
                      <w:sz w:val="22"/>
                      <w:szCs w:val="22"/>
                      <w:highlight w:val="none"/>
                    </w:rPr>
                  </w:pPr>
                  <w:r>
                    <w:rPr>
                      <w:rFonts w:hint="eastAsia" w:ascii="Arial" w:hAnsi="Arial" w:cs="Arial"/>
                      <w:kern w:val="0"/>
                      <w:sz w:val="22"/>
                      <w:szCs w:val="22"/>
                      <w:highlight w:val="none"/>
                    </w:rPr>
                    <w:t>3)背板带宽≥10G，总端口≥8个（万兆光口/电口≥6个）本次实现并发≥10000，最大可支持40000，需要支持实现IPV4/IPV6双栈混合认证计费。</w:t>
                  </w:r>
                </w:p>
                <w:p>
                  <w:pPr>
                    <w:widowControl/>
                    <w:adjustRightInd w:val="0"/>
                    <w:snapToGrid w:val="0"/>
                    <w:spacing w:line="240" w:lineRule="exact"/>
                    <w:jc w:val="left"/>
                    <w:rPr>
                      <w:rFonts w:ascii="Arial" w:hAnsi="Arial" w:cs="Arial"/>
                      <w:kern w:val="0"/>
                      <w:sz w:val="22"/>
                      <w:szCs w:val="22"/>
                      <w:highlight w:val="none"/>
                    </w:rPr>
                  </w:pPr>
                  <w:r>
                    <w:rPr>
                      <w:rFonts w:hint="eastAsia" w:ascii="Arial" w:hAnsi="Arial" w:cs="Arial"/>
                      <w:kern w:val="0"/>
                      <w:sz w:val="22"/>
                      <w:szCs w:val="22"/>
                      <w:highlight w:val="none"/>
                    </w:rPr>
                    <w:t>4)认证设备必须实现桥接或旁路两种模式；网关部署模式下需支持纯网桥模式部署。</w:t>
                  </w:r>
                </w:p>
                <w:p>
                  <w:pPr>
                    <w:widowControl/>
                    <w:adjustRightInd w:val="0"/>
                    <w:snapToGrid w:val="0"/>
                    <w:spacing w:line="240" w:lineRule="exact"/>
                    <w:jc w:val="left"/>
                    <w:rPr>
                      <w:rFonts w:ascii="Arial" w:hAnsi="Arial" w:cs="Arial"/>
                      <w:kern w:val="0"/>
                      <w:sz w:val="22"/>
                      <w:szCs w:val="22"/>
                      <w:highlight w:val="none"/>
                    </w:rPr>
                  </w:pPr>
                  <w:r>
                    <w:rPr>
                      <w:rFonts w:hint="eastAsia" w:ascii="Arial" w:hAnsi="Arial" w:cs="Arial"/>
                      <w:kern w:val="0"/>
                      <w:sz w:val="22"/>
                      <w:szCs w:val="22"/>
                      <w:highlight w:val="none"/>
                    </w:rPr>
                    <w:t>5)系统管理平台必须采用linux架构，支持主流的B/S和C/S架构。</w:t>
                  </w:r>
                </w:p>
                <w:p>
                  <w:pPr>
                    <w:widowControl/>
                    <w:adjustRightInd w:val="0"/>
                    <w:snapToGrid w:val="0"/>
                    <w:spacing w:line="240" w:lineRule="exact"/>
                    <w:jc w:val="left"/>
                    <w:rPr>
                      <w:rFonts w:ascii="Arial" w:hAnsi="Arial" w:cs="Arial"/>
                      <w:kern w:val="0"/>
                      <w:sz w:val="22"/>
                      <w:szCs w:val="22"/>
                      <w:highlight w:val="none"/>
                    </w:rPr>
                  </w:pPr>
                  <w:r>
                    <w:rPr>
                      <w:rFonts w:hint="eastAsia" w:ascii="Arial" w:hAnsi="Arial" w:cs="Arial"/>
                      <w:kern w:val="0"/>
                      <w:sz w:val="22"/>
                      <w:szCs w:val="22"/>
                      <w:highlight w:val="none"/>
                    </w:rPr>
                    <w:t>6)支持双链路达到2000万的数据包线速转发；全双工下128字节以上包转发率需达到100%。</w:t>
                  </w:r>
                </w:p>
                <w:p>
                  <w:pPr>
                    <w:widowControl/>
                    <w:adjustRightInd w:val="0"/>
                    <w:snapToGrid w:val="0"/>
                    <w:spacing w:line="240" w:lineRule="exact"/>
                    <w:jc w:val="left"/>
                    <w:rPr>
                      <w:rFonts w:ascii="Arial" w:hAnsi="Arial" w:cs="Arial"/>
                      <w:kern w:val="0"/>
                      <w:sz w:val="22"/>
                      <w:szCs w:val="22"/>
                      <w:highlight w:val="none"/>
                    </w:rPr>
                  </w:pPr>
                  <w:r>
                    <w:rPr>
                      <w:rFonts w:hint="eastAsia" w:ascii="Arial" w:hAnsi="Arial" w:cs="Arial"/>
                      <w:kern w:val="0"/>
                      <w:sz w:val="22"/>
                      <w:szCs w:val="22"/>
                      <w:highlight w:val="none"/>
                    </w:rPr>
                    <w:t>1)单台BAS设备PPPoE并发用户数需能达到5000以上</w:t>
                  </w:r>
                </w:p>
                <w:p>
                  <w:pPr>
                    <w:widowControl/>
                    <w:adjustRightInd w:val="0"/>
                    <w:snapToGrid w:val="0"/>
                    <w:spacing w:line="240" w:lineRule="exact"/>
                    <w:jc w:val="left"/>
                    <w:rPr>
                      <w:rFonts w:ascii="Arial" w:hAnsi="Arial" w:cs="Arial"/>
                      <w:kern w:val="0"/>
                      <w:sz w:val="22"/>
                      <w:szCs w:val="22"/>
                      <w:highlight w:val="none"/>
                    </w:rPr>
                  </w:pPr>
                  <w:r>
                    <w:rPr>
                      <w:rFonts w:hint="eastAsia" w:ascii="Arial" w:hAnsi="Arial" w:cs="Arial"/>
                      <w:kern w:val="0"/>
                      <w:sz w:val="22"/>
                      <w:szCs w:val="22"/>
                      <w:highlight w:val="none"/>
                    </w:rPr>
                    <w:t>7)支持主、备服务器的数据自动同步功能。支持集群式负载均衡部署方式；支持分布部署，统一管理模式。</w:t>
                  </w:r>
                </w:p>
                <w:p>
                  <w:pPr>
                    <w:widowControl/>
                    <w:adjustRightInd w:val="0"/>
                    <w:snapToGrid w:val="0"/>
                    <w:spacing w:line="240" w:lineRule="exact"/>
                    <w:jc w:val="left"/>
                    <w:rPr>
                      <w:rFonts w:hint="eastAsia" w:ascii="Arial" w:hAnsi="Arial" w:cs="Arial"/>
                      <w:kern w:val="0"/>
                      <w:sz w:val="22"/>
                      <w:szCs w:val="22"/>
                      <w:highlight w:val="none"/>
                    </w:rPr>
                  </w:pPr>
                  <w:r>
                    <w:rPr>
                      <w:rFonts w:hint="eastAsia" w:ascii="Arial" w:hAnsi="Arial" w:cs="Arial"/>
                      <w:kern w:val="0"/>
                      <w:sz w:val="22"/>
                      <w:szCs w:val="22"/>
                      <w:highlight w:val="none"/>
                    </w:rPr>
                    <w:t>8)要求支持国际标准认证方式（WEB、PPPoE、802.1x、PPTP、IPoE、专用客户端等），并支持以上认证方式混合接入,要求支持基于MAC地址的认证，支持基于IP地址的认证，基于VLAN ID认证；支持登陆地址段、VLAN ID来限制户账号漫游。</w:t>
                  </w:r>
                </w:p>
                <w:p>
                  <w:pPr>
                    <w:widowControl/>
                    <w:adjustRightInd w:val="0"/>
                    <w:snapToGrid w:val="0"/>
                    <w:spacing w:line="240" w:lineRule="exact"/>
                    <w:jc w:val="left"/>
                    <w:rPr>
                      <w:highlight w:val="none"/>
                    </w:rPr>
                  </w:pPr>
                  <w:r>
                    <w:rPr>
                      <w:rFonts w:hint="eastAsia" w:ascii="Arial" w:hAnsi="Arial" w:cs="Arial"/>
                      <w:kern w:val="0"/>
                      <w:sz w:val="22"/>
                      <w:szCs w:val="22"/>
                      <w:highlight w:val="none"/>
                    </w:rPr>
                    <w:t>9）与招标方现有认证计费系统(城市热点)能相互热备。</w:t>
                  </w:r>
                </w:p>
              </w:tc>
              <w:tc>
                <w:tcPr>
                  <w:tcW w:w="661" w:type="dxa"/>
                  <w:tcBorders>
                    <w:top w:val="single" w:color="auto" w:sz="8" w:space="0"/>
                    <w:left w:val="nil"/>
                    <w:bottom w:val="single" w:color="000000" w:sz="4" w:space="0"/>
                    <w:right w:val="single" w:color="000000" w:sz="4" w:space="0"/>
                  </w:tcBorders>
                  <w:noWrap/>
                  <w:vAlign w:val="center"/>
                </w:tcPr>
                <w:p>
                  <w:pPr>
                    <w:jc w:val="center"/>
                    <w:rPr>
                      <w:rFonts w:ascii="Arial" w:hAnsi="Arial" w:cs="Arial"/>
                      <w:kern w:val="0"/>
                      <w:sz w:val="22"/>
                      <w:szCs w:val="22"/>
                      <w:highlight w:val="none"/>
                    </w:rPr>
                  </w:pPr>
                  <w:r>
                    <w:rPr>
                      <w:rFonts w:hint="eastAsia" w:ascii="Arial" w:hAnsi="Arial" w:cs="Arial"/>
                      <w:kern w:val="0"/>
                      <w:sz w:val="22"/>
                      <w:szCs w:val="22"/>
                      <w:highlight w:val="none"/>
                    </w:rPr>
                    <w:t>1</w:t>
                  </w:r>
                </w:p>
              </w:tc>
            </w:tr>
          </w:tbl>
          <w:p>
            <w:pPr>
              <w:rPr>
                <w:sz w:val="22"/>
                <w:szCs w:val="22"/>
                <w:highlight w:val="none"/>
              </w:rPr>
            </w:pPr>
          </w:p>
          <w:p>
            <w:pPr>
              <w:pStyle w:val="5"/>
              <w:rPr>
                <w:sz w:val="22"/>
                <w:szCs w:val="22"/>
                <w:highlight w:val="none"/>
              </w:rPr>
            </w:pPr>
            <w:r>
              <w:rPr>
                <w:sz w:val="22"/>
                <w:szCs w:val="22"/>
                <w:highlight w:val="none"/>
              </w:rPr>
              <w:t xml:space="preserve">3．施工要求 </w:t>
            </w:r>
          </w:p>
          <w:p>
            <w:pPr>
              <w:spacing w:before="120" w:beforeLines="50" w:after="120" w:afterLines="50"/>
              <w:ind w:firstLine="442" w:firstLineChars="200"/>
              <w:rPr>
                <w:b/>
                <w:sz w:val="22"/>
                <w:szCs w:val="22"/>
                <w:highlight w:val="none"/>
              </w:rPr>
            </w:pPr>
            <w:r>
              <w:rPr>
                <w:b/>
                <w:sz w:val="22"/>
                <w:szCs w:val="22"/>
                <w:highlight w:val="none"/>
              </w:rPr>
              <w:t>1</w:t>
            </w:r>
            <w:r>
              <w:rPr>
                <w:rFonts w:hint="eastAsia"/>
                <w:b/>
                <w:sz w:val="22"/>
                <w:szCs w:val="22"/>
                <w:highlight w:val="none"/>
              </w:rPr>
              <w:t>）</w:t>
            </w:r>
            <w:r>
              <w:rPr>
                <w:b/>
                <w:sz w:val="22"/>
                <w:szCs w:val="22"/>
                <w:highlight w:val="none"/>
              </w:rPr>
              <w:t>网线质量要求</w:t>
            </w:r>
          </w:p>
          <w:p>
            <w:pPr>
              <w:pStyle w:val="8"/>
              <w:numPr>
                <w:ilvl w:val="0"/>
                <w:numId w:val="8"/>
              </w:numPr>
              <w:spacing w:line="360" w:lineRule="exact"/>
              <w:ind w:firstLineChars="0"/>
              <w:rPr>
                <w:sz w:val="22"/>
                <w:highlight w:val="none"/>
              </w:rPr>
            </w:pPr>
            <w:r>
              <w:rPr>
                <w:sz w:val="22"/>
                <w:highlight w:val="none"/>
              </w:rPr>
              <w:t>超五类线缆要求符合ISO/IEC11801:2002,TIA/EIA-568-B类标准，8位触针采用50µ＂镀金；支持POE+以太网供电标准，阻燃性能达到UL94V-0级别；</w:t>
            </w:r>
          </w:p>
          <w:p>
            <w:pPr>
              <w:pStyle w:val="8"/>
              <w:numPr>
                <w:ilvl w:val="0"/>
                <w:numId w:val="8"/>
              </w:numPr>
              <w:spacing w:line="360" w:lineRule="exact"/>
              <w:ind w:firstLineChars="0"/>
              <w:rPr>
                <w:sz w:val="22"/>
                <w:highlight w:val="none"/>
              </w:rPr>
            </w:pPr>
            <w:r>
              <w:rPr>
                <w:sz w:val="22"/>
                <w:highlight w:val="none"/>
              </w:rPr>
              <w:t>超五类非屏蔽信息模块，能够满足高速数据及语音信号的传输，符合EIA／TIA-568A/B标准、ISO/IEC11801:2002标准；</w:t>
            </w:r>
          </w:p>
          <w:p>
            <w:pPr>
              <w:pStyle w:val="8"/>
              <w:numPr>
                <w:ilvl w:val="0"/>
                <w:numId w:val="8"/>
              </w:numPr>
              <w:spacing w:line="360" w:lineRule="exact"/>
              <w:ind w:firstLineChars="0"/>
              <w:rPr>
                <w:sz w:val="22"/>
                <w:highlight w:val="none"/>
              </w:rPr>
            </w:pPr>
            <w:r>
              <w:rPr>
                <w:sz w:val="22"/>
                <w:highlight w:val="none"/>
              </w:rPr>
              <w:t>绝缘电阻≥5000MΩ•Km、单根导体直流电阻≤9.5Ω/100m、线对直流电阻不平衡≤%2.5；</w:t>
            </w:r>
          </w:p>
          <w:p>
            <w:pPr>
              <w:pStyle w:val="8"/>
              <w:numPr>
                <w:ilvl w:val="0"/>
                <w:numId w:val="8"/>
              </w:numPr>
              <w:spacing w:line="360" w:lineRule="exact"/>
              <w:ind w:firstLineChars="0"/>
              <w:rPr>
                <w:sz w:val="22"/>
                <w:highlight w:val="none"/>
              </w:rPr>
            </w:pPr>
            <w:r>
              <w:rPr>
                <w:sz w:val="22"/>
                <w:highlight w:val="none"/>
              </w:rPr>
              <w:t>校园网网线质量要求必须采用不低于超五类网线；</w:t>
            </w:r>
          </w:p>
          <w:p>
            <w:pPr>
              <w:pStyle w:val="8"/>
              <w:numPr>
                <w:ilvl w:val="0"/>
                <w:numId w:val="8"/>
              </w:numPr>
              <w:spacing w:line="360" w:lineRule="exact"/>
              <w:ind w:firstLineChars="0"/>
              <w:rPr>
                <w:sz w:val="22"/>
                <w:highlight w:val="none"/>
              </w:rPr>
            </w:pPr>
            <w:r>
              <w:rPr>
                <w:sz w:val="22"/>
                <w:highlight w:val="none"/>
              </w:rPr>
              <w:t>提供工程实施方案说明。</w:t>
            </w:r>
          </w:p>
          <w:p>
            <w:pPr>
              <w:spacing w:before="120" w:beforeLines="50" w:after="120" w:afterLines="50"/>
              <w:ind w:firstLine="442" w:firstLineChars="200"/>
              <w:rPr>
                <w:b/>
                <w:sz w:val="22"/>
                <w:szCs w:val="22"/>
                <w:highlight w:val="none"/>
              </w:rPr>
            </w:pPr>
            <w:r>
              <w:rPr>
                <w:b/>
                <w:sz w:val="22"/>
                <w:szCs w:val="22"/>
                <w:highlight w:val="none"/>
              </w:rPr>
              <w:t>2</w:t>
            </w:r>
            <w:r>
              <w:rPr>
                <w:rFonts w:hint="eastAsia"/>
                <w:b/>
                <w:sz w:val="22"/>
                <w:szCs w:val="22"/>
                <w:highlight w:val="none"/>
              </w:rPr>
              <w:t>）</w:t>
            </w:r>
            <w:r>
              <w:rPr>
                <w:b/>
                <w:sz w:val="22"/>
                <w:szCs w:val="22"/>
                <w:highlight w:val="none"/>
              </w:rPr>
              <w:t>光缆质量要求</w:t>
            </w:r>
          </w:p>
          <w:p>
            <w:pPr>
              <w:pStyle w:val="8"/>
              <w:numPr>
                <w:ilvl w:val="0"/>
                <w:numId w:val="9"/>
              </w:numPr>
              <w:spacing w:line="360" w:lineRule="exact"/>
              <w:ind w:firstLineChars="0"/>
              <w:rPr>
                <w:sz w:val="22"/>
                <w:highlight w:val="none"/>
              </w:rPr>
            </w:pPr>
            <w:r>
              <w:rPr>
                <w:sz w:val="22"/>
                <w:highlight w:val="none"/>
              </w:rPr>
              <w:t>支持1000Base-LX至5000米，支持10GBASE-LR至10000米；</w:t>
            </w:r>
          </w:p>
          <w:p>
            <w:pPr>
              <w:pStyle w:val="8"/>
              <w:numPr>
                <w:ilvl w:val="0"/>
                <w:numId w:val="9"/>
              </w:numPr>
              <w:spacing w:line="360" w:lineRule="exact"/>
              <w:ind w:firstLineChars="0"/>
              <w:rPr>
                <w:sz w:val="22"/>
                <w:highlight w:val="none"/>
              </w:rPr>
            </w:pPr>
            <w:r>
              <w:rPr>
                <w:sz w:val="22"/>
                <w:highlight w:val="none"/>
              </w:rPr>
              <w:t>符合YD/T901-2009标准；</w:t>
            </w:r>
          </w:p>
          <w:p>
            <w:pPr>
              <w:pStyle w:val="8"/>
              <w:numPr>
                <w:ilvl w:val="0"/>
                <w:numId w:val="9"/>
              </w:numPr>
              <w:spacing w:line="360" w:lineRule="exact"/>
              <w:ind w:firstLineChars="0"/>
              <w:rPr>
                <w:sz w:val="22"/>
                <w:highlight w:val="none"/>
              </w:rPr>
            </w:pPr>
            <w:r>
              <w:rPr>
                <w:sz w:val="22"/>
                <w:highlight w:val="none"/>
              </w:rPr>
              <w:t>楼宇内主干光纤布线采用单模光纤，不少于12芯；</w:t>
            </w:r>
          </w:p>
          <w:p>
            <w:pPr>
              <w:pStyle w:val="8"/>
              <w:numPr>
                <w:ilvl w:val="0"/>
                <w:numId w:val="9"/>
              </w:numPr>
              <w:spacing w:line="360" w:lineRule="exact"/>
              <w:ind w:firstLineChars="0"/>
              <w:rPr>
                <w:sz w:val="22"/>
                <w:highlight w:val="none"/>
              </w:rPr>
            </w:pPr>
            <w:r>
              <w:rPr>
                <w:sz w:val="22"/>
                <w:highlight w:val="none"/>
              </w:rPr>
              <w:t>提供工程实施方案说明。</w:t>
            </w:r>
          </w:p>
          <w:p>
            <w:pPr>
              <w:spacing w:before="120" w:beforeLines="50" w:after="120" w:afterLines="50"/>
              <w:ind w:firstLine="442" w:firstLineChars="200"/>
              <w:rPr>
                <w:b/>
                <w:sz w:val="22"/>
                <w:szCs w:val="22"/>
                <w:highlight w:val="none"/>
              </w:rPr>
            </w:pPr>
            <w:r>
              <w:rPr>
                <w:b/>
                <w:sz w:val="22"/>
                <w:szCs w:val="22"/>
                <w:highlight w:val="none"/>
              </w:rPr>
              <w:t>3</w:t>
            </w:r>
            <w:r>
              <w:rPr>
                <w:rFonts w:hint="eastAsia"/>
                <w:b/>
                <w:sz w:val="22"/>
                <w:szCs w:val="22"/>
                <w:highlight w:val="none"/>
              </w:rPr>
              <w:t>）</w:t>
            </w:r>
            <w:r>
              <w:rPr>
                <w:b/>
                <w:sz w:val="22"/>
                <w:szCs w:val="22"/>
                <w:highlight w:val="none"/>
              </w:rPr>
              <w:t>施工质量及规范</w:t>
            </w:r>
          </w:p>
          <w:p>
            <w:pPr>
              <w:pStyle w:val="8"/>
              <w:numPr>
                <w:ilvl w:val="0"/>
                <w:numId w:val="10"/>
              </w:numPr>
              <w:spacing w:line="360" w:lineRule="exact"/>
              <w:ind w:firstLineChars="0"/>
              <w:rPr>
                <w:sz w:val="22"/>
                <w:highlight w:val="none"/>
              </w:rPr>
            </w:pPr>
            <w:r>
              <w:rPr>
                <w:sz w:val="22"/>
                <w:highlight w:val="none"/>
              </w:rPr>
              <w:t>综合布线系统产品(不含光纤线路)不低于学校现有综合布线系统的技术水平，包括各种水平线缆、配线架、理线架、模块、数据跳线、面板</w:t>
            </w:r>
            <w:r>
              <w:rPr>
                <w:rFonts w:hint="eastAsia"/>
                <w:sz w:val="22"/>
                <w:highlight w:val="none"/>
              </w:rPr>
              <w:t>；</w:t>
            </w:r>
          </w:p>
          <w:p>
            <w:pPr>
              <w:pStyle w:val="8"/>
              <w:numPr>
                <w:ilvl w:val="0"/>
                <w:numId w:val="10"/>
              </w:numPr>
              <w:spacing w:line="360" w:lineRule="exact"/>
              <w:ind w:firstLineChars="0"/>
              <w:rPr>
                <w:sz w:val="22"/>
                <w:highlight w:val="none"/>
              </w:rPr>
            </w:pPr>
            <w:r>
              <w:rPr>
                <w:sz w:val="22"/>
                <w:highlight w:val="none"/>
              </w:rPr>
              <w:t>线缆的品质与安装满足《综合布线系统工程设计规范》GB50311-2007</w:t>
            </w:r>
            <w:r>
              <w:rPr>
                <w:rFonts w:hint="eastAsia"/>
                <w:sz w:val="22"/>
                <w:highlight w:val="none"/>
              </w:rPr>
              <w:t>；</w:t>
            </w:r>
          </w:p>
          <w:p>
            <w:pPr>
              <w:pStyle w:val="8"/>
              <w:numPr>
                <w:ilvl w:val="0"/>
                <w:numId w:val="10"/>
              </w:numPr>
              <w:spacing w:line="360" w:lineRule="exact"/>
              <w:ind w:firstLineChars="0"/>
              <w:rPr>
                <w:sz w:val="22"/>
                <w:highlight w:val="none"/>
              </w:rPr>
            </w:pPr>
            <w:r>
              <w:rPr>
                <w:sz w:val="22"/>
                <w:highlight w:val="none"/>
              </w:rPr>
              <w:t>网络开通使用前需提供测试报告以及相关线路图，满足《综合布线系统工程验收规范》GB50312-2007。</w:t>
            </w:r>
          </w:p>
          <w:p>
            <w:pPr>
              <w:pStyle w:val="5"/>
              <w:rPr>
                <w:sz w:val="22"/>
                <w:szCs w:val="22"/>
                <w:highlight w:val="none"/>
              </w:rPr>
            </w:pPr>
            <w:r>
              <w:rPr>
                <w:sz w:val="22"/>
                <w:szCs w:val="22"/>
                <w:highlight w:val="none"/>
              </w:rPr>
              <w:t>4．运维要求</w:t>
            </w:r>
          </w:p>
          <w:p>
            <w:pPr>
              <w:ind w:firstLine="440" w:firstLineChars="200"/>
              <w:rPr>
                <w:sz w:val="22"/>
                <w:szCs w:val="22"/>
                <w:highlight w:val="none"/>
              </w:rPr>
            </w:pPr>
            <w:r>
              <w:rPr>
                <w:sz w:val="22"/>
                <w:szCs w:val="22"/>
                <w:highlight w:val="none"/>
              </w:rPr>
              <w:t>无线网络运维服务要求应达到下表所列指标：</w:t>
            </w:r>
          </w:p>
          <w:p>
            <w:pPr>
              <w:ind w:firstLine="440" w:firstLineChars="200"/>
              <w:rPr>
                <w:sz w:val="22"/>
                <w:szCs w:val="22"/>
                <w:highlight w:val="none"/>
              </w:rPr>
            </w:pP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2977"/>
              <w:gridCol w:w="1842"/>
              <w:gridCol w:w="2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noWrap w:val="0"/>
                  <w:vAlign w:val="top"/>
                </w:tcPr>
                <w:p>
                  <w:pPr>
                    <w:rPr>
                      <w:b/>
                      <w:sz w:val="22"/>
                      <w:szCs w:val="22"/>
                      <w:highlight w:val="none"/>
                    </w:rPr>
                  </w:pPr>
                  <w:r>
                    <w:rPr>
                      <w:b/>
                      <w:sz w:val="22"/>
                      <w:szCs w:val="22"/>
                      <w:highlight w:val="none"/>
                    </w:rPr>
                    <w:t>服务方式/项目</w:t>
                  </w:r>
                </w:p>
              </w:tc>
              <w:tc>
                <w:tcPr>
                  <w:tcW w:w="2977" w:type="dxa"/>
                  <w:noWrap w:val="0"/>
                  <w:vAlign w:val="top"/>
                </w:tcPr>
                <w:p>
                  <w:pPr>
                    <w:ind w:firstLine="442" w:firstLineChars="200"/>
                    <w:rPr>
                      <w:b/>
                      <w:sz w:val="22"/>
                      <w:szCs w:val="22"/>
                      <w:highlight w:val="none"/>
                    </w:rPr>
                  </w:pPr>
                  <w:r>
                    <w:rPr>
                      <w:b/>
                      <w:sz w:val="22"/>
                      <w:szCs w:val="22"/>
                      <w:highlight w:val="none"/>
                    </w:rPr>
                    <w:t>服务级别类型</w:t>
                  </w:r>
                </w:p>
              </w:tc>
              <w:tc>
                <w:tcPr>
                  <w:tcW w:w="1842" w:type="dxa"/>
                  <w:noWrap w:val="0"/>
                  <w:vAlign w:val="top"/>
                </w:tcPr>
                <w:p>
                  <w:pPr>
                    <w:rPr>
                      <w:b/>
                      <w:sz w:val="22"/>
                      <w:szCs w:val="22"/>
                      <w:highlight w:val="none"/>
                    </w:rPr>
                  </w:pPr>
                  <w:r>
                    <w:rPr>
                      <w:b/>
                      <w:sz w:val="22"/>
                      <w:szCs w:val="22"/>
                      <w:highlight w:val="none"/>
                    </w:rPr>
                    <w:t>服务级别指标</w:t>
                  </w:r>
                </w:p>
              </w:tc>
              <w:tc>
                <w:tcPr>
                  <w:tcW w:w="2744" w:type="dxa"/>
                  <w:noWrap w:val="0"/>
                  <w:vAlign w:val="top"/>
                </w:tcPr>
                <w:p>
                  <w:pPr>
                    <w:ind w:firstLine="442" w:firstLineChars="200"/>
                    <w:rPr>
                      <w:b/>
                      <w:sz w:val="22"/>
                      <w:szCs w:val="22"/>
                      <w:highlight w:val="none"/>
                    </w:rPr>
                  </w:pPr>
                  <w:r>
                    <w:rPr>
                      <w:b/>
                      <w:sz w:val="22"/>
                      <w:szCs w:val="22"/>
                      <w:highlight w:val="none"/>
                    </w:rPr>
                    <w:t>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Merge w:val="restart"/>
                  <w:noWrap w:val="0"/>
                  <w:vAlign w:val="center"/>
                </w:tcPr>
                <w:p>
                  <w:pPr>
                    <w:jc w:val="center"/>
                    <w:rPr>
                      <w:sz w:val="22"/>
                      <w:szCs w:val="22"/>
                      <w:highlight w:val="none"/>
                    </w:rPr>
                  </w:pPr>
                  <w:r>
                    <w:rPr>
                      <w:sz w:val="22"/>
                      <w:szCs w:val="22"/>
                      <w:highlight w:val="none"/>
                    </w:rPr>
                    <w:t>总体服务台</w:t>
                  </w:r>
                </w:p>
              </w:tc>
              <w:tc>
                <w:tcPr>
                  <w:tcW w:w="2977" w:type="dxa"/>
                  <w:noWrap w:val="0"/>
                  <w:vAlign w:val="center"/>
                </w:tcPr>
                <w:p>
                  <w:pPr>
                    <w:rPr>
                      <w:sz w:val="22"/>
                      <w:szCs w:val="22"/>
                      <w:highlight w:val="none"/>
                    </w:rPr>
                  </w:pPr>
                  <w:r>
                    <w:rPr>
                      <w:sz w:val="22"/>
                      <w:szCs w:val="22"/>
                      <w:highlight w:val="none"/>
                    </w:rPr>
                    <w:t>用户满意度</w:t>
                  </w:r>
                </w:p>
              </w:tc>
              <w:tc>
                <w:tcPr>
                  <w:tcW w:w="1842" w:type="dxa"/>
                  <w:noWrap w:val="0"/>
                  <w:vAlign w:val="center"/>
                </w:tcPr>
                <w:p>
                  <w:pPr>
                    <w:rPr>
                      <w:sz w:val="22"/>
                      <w:szCs w:val="22"/>
                      <w:highlight w:val="none"/>
                    </w:rPr>
                  </w:pPr>
                  <w:r>
                    <w:rPr>
                      <w:sz w:val="22"/>
                      <w:szCs w:val="22"/>
                      <w:highlight w:val="none"/>
                    </w:rPr>
                    <w:t>&gt;80%</w:t>
                  </w:r>
                </w:p>
              </w:tc>
              <w:tc>
                <w:tcPr>
                  <w:tcW w:w="2744" w:type="dxa"/>
                  <w:noWrap w:val="0"/>
                  <w:vAlign w:val="center"/>
                </w:tcPr>
                <w:p>
                  <w:pPr>
                    <w:rPr>
                      <w:sz w:val="22"/>
                      <w:szCs w:val="22"/>
                      <w:highlight w:val="none"/>
                    </w:rPr>
                  </w:pPr>
                  <w:r>
                    <w:rPr>
                      <w:sz w:val="22"/>
                      <w:szCs w:val="22"/>
                      <w:highlight w:val="none"/>
                    </w:rPr>
                    <w:t>[1-(非常不满意case数＋不满意case数+一般case数)/总Case数)*100%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Merge w:val="continue"/>
                  <w:noWrap w:val="0"/>
                  <w:vAlign w:val="top"/>
                </w:tcPr>
                <w:p>
                  <w:pPr>
                    <w:rPr>
                      <w:sz w:val="22"/>
                      <w:szCs w:val="22"/>
                      <w:highlight w:val="none"/>
                    </w:rPr>
                  </w:pPr>
                </w:p>
              </w:tc>
              <w:tc>
                <w:tcPr>
                  <w:tcW w:w="2977" w:type="dxa"/>
                  <w:noWrap w:val="0"/>
                  <w:vAlign w:val="center"/>
                </w:tcPr>
                <w:p>
                  <w:pPr>
                    <w:rPr>
                      <w:sz w:val="22"/>
                      <w:szCs w:val="22"/>
                      <w:highlight w:val="none"/>
                    </w:rPr>
                  </w:pPr>
                  <w:r>
                    <w:rPr>
                      <w:sz w:val="22"/>
                      <w:szCs w:val="22"/>
                      <w:highlight w:val="none"/>
                    </w:rPr>
                    <w:t>用户投诉次数</w:t>
                  </w:r>
                </w:p>
              </w:tc>
              <w:tc>
                <w:tcPr>
                  <w:tcW w:w="1842" w:type="dxa"/>
                  <w:noWrap w:val="0"/>
                  <w:vAlign w:val="center"/>
                </w:tcPr>
                <w:p>
                  <w:pPr>
                    <w:rPr>
                      <w:sz w:val="22"/>
                      <w:szCs w:val="22"/>
                      <w:highlight w:val="none"/>
                    </w:rPr>
                  </w:pPr>
                  <w:r>
                    <w:rPr>
                      <w:sz w:val="22"/>
                      <w:szCs w:val="22"/>
                      <w:highlight w:val="none"/>
                    </w:rPr>
                    <w:t>&lt;43</w:t>
                  </w:r>
                </w:p>
              </w:tc>
              <w:tc>
                <w:tcPr>
                  <w:tcW w:w="2744" w:type="dxa"/>
                  <w:noWrap w:val="0"/>
                  <w:vAlign w:val="center"/>
                </w:tcPr>
                <w:p>
                  <w:pPr>
                    <w:rPr>
                      <w:sz w:val="22"/>
                      <w:szCs w:val="22"/>
                      <w:highlight w:val="none"/>
                    </w:rPr>
                  </w:pPr>
                  <w:r>
                    <w:rPr>
                      <w:sz w:val="22"/>
                      <w:szCs w:val="22"/>
                      <w:highlight w:val="none"/>
                    </w:rPr>
                    <w:t>全年合理投诉次数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Merge w:val="continue"/>
                  <w:noWrap w:val="0"/>
                  <w:vAlign w:val="top"/>
                </w:tcPr>
                <w:p>
                  <w:pPr>
                    <w:rPr>
                      <w:sz w:val="22"/>
                      <w:szCs w:val="22"/>
                      <w:highlight w:val="none"/>
                    </w:rPr>
                  </w:pPr>
                </w:p>
              </w:tc>
              <w:tc>
                <w:tcPr>
                  <w:tcW w:w="2977" w:type="dxa"/>
                  <w:noWrap w:val="0"/>
                  <w:vAlign w:val="center"/>
                </w:tcPr>
                <w:p>
                  <w:pPr>
                    <w:rPr>
                      <w:sz w:val="22"/>
                      <w:szCs w:val="22"/>
                      <w:highlight w:val="none"/>
                    </w:rPr>
                  </w:pPr>
                  <w:r>
                    <w:rPr>
                      <w:sz w:val="22"/>
                      <w:szCs w:val="22"/>
                      <w:highlight w:val="none"/>
                    </w:rPr>
                    <w:t>校园网骨干性能</w:t>
                  </w:r>
                </w:p>
              </w:tc>
              <w:tc>
                <w:tcPr>
                  <w:tcW w:w="1842" w:type="dxa"/>
                  <w:noWrap w:val="0"/>
                  <w:vAlign w:val="center"/>
                </w:tcPr>
                <w:p>
                  <w:pPr>
                    <w:rPr>
                      <w:sz w:val="22"/>
                      <w:szCs w:val="22"/>
                      <w:highlight w:val="none"/>
                    </w:rPr>
                  </w:pPr>
                  <w:r>
                    <w:rPr>
                      <w:rFonts w:hint="eastAsia" w:ascii="宋体" w:hAnsi="宋体" w:cs="宋体"/>
                      <w:sz w:val="22"/>
                      <w:szCs w:val="22"/>
                      <w:highlight w:val="none"/>
                    </w:rPr>
                    <w:t>≧</w:t>
                  </w:r>
                  <w:r>
                    <w:rPr>
                      <w:rFonts w:ascii="Calibri" w:hAnsi="Calibri" w:cs="Calibri"/>
                      <w:sz w:val="22"/>
                      <w:szCs w:val="22"/>
                      <w:highlight w:val="none"/>
                    </w:rPr>
                    <w:t>10G</w:t>
                  </w:r>
                </w:p>
              </w:tc>
              <w:tc>
                <w:tcPr>
                  <w:tcW w:w="2744" w:type="dxa"/>
                  <w:noWrap w:val="0"/>
                  <w:vAlign w:val="center"/>
                </w:tcPr>
                <w:p>
                  <w:pPr>
                    <w:rPr>
                      <w:sz w:val="22"/>
                      <w:szCs w:val="22"/>
                      <w:highlight w:val="none"/>
                    </w:rPr>
                  </w:pPr>
                  <w:r>
                    <w:rPr>
                      <w:sz w:val="22"/>
                      <w:szCs w:val="22"/>
                      <w:highlight w:val="none"/>
                    </w:rPr>
                    <w:t>核心骨干网性能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Merge w:val="continue"/>
                  <w:noWrap w:val="0"/>
                  <w:vAlign w:val="top"/>
                </w:tcPr>
                <w:p>
                  <w:pPr>
                    <w:rPr>
                      <w:sz w:val="22"/>
                      <w:szCs w:val="22"/>
                      <w:highlight w:val="none"/>
                    </w:rPr>
                  </w:pPr>
                </w:p>
              </w:tc>
              <w:tc>
                <w:tcPr>
                  <w:tcW w:w="2977" w:type="dxa"/>
                  <w:noWrap w:val="0"/>
                  <w:vAlign w:val="center"/>
                </w:tcPr>
                <w:p>
                  <w:pPr>
                    <w:rPr>
                      <w:sz w:val="22"/>
                      <w:szCs w:val="22"/>
                      <w:highlight w:val="none"/>
                    </w:rPr>
                  </w:pPr>
                  <w:r>
                    <w:rPr>
                      <w:sz w:val="22"/>
                      <w:szCs w:val="22"/>
                      <w:highlight w:val="none"/>
                    </w:rPr>
                    <w:t>校园无线网信号强度</w:t>
                  </w:r>
                </w:p>
              </w:tc>
              <w:tc>
                <w:tcPr>
                  <w:tcW w:w="1842" w:type="dxa"/>
                  <w:noWrap w:val="0"/>
                  <w:vAlign w:val="center"/>
                </w:tcPr>
                <w:p>
                  <w:pPr>
                    <w:rPr>
                      <w:sz w:val="22"/>
                      <w:szCs w:val="22"/>
                      <w:highlight w:val="none"/>
                    </w:rPr>
                  </w:pPr>
                  <w:r>
                    <w:rPr>
                      <w:rFonts w:hint="eastAsia" w:ascii="宋体" w:hAnsi="宋体" w:cs="宋体"/>
                      <w:sz w:val="22"/>
                      <w:szCs w:val="22"/>
                      <w:highlight w:val="none"/>
                    </w:rPr>
                    <w:t>≧</w:t>
                  </w:r>
                  <w:r>
                    <w:rPr>
                      <w:rFonts w:ascii="Calibri" w:hAnsi="Calibri" w:cs="Calibri"/>
                      <w:sz w:val="22"/>
                      <w:szCs w:val="22"/>
                      <w:highlight w:val="none"/>
                    </w:rPr>
                    <w:t>-75dbm</w:t>
                  </w:r>
                </w:p>
              </w:tc>
              <w:tc>
                <w:tcPr>
                  <w:tcW w:w="2744" w:type="dxa"/>
                  <w:noWrap w:val="0"/>
                  <w:vAlign w:val="center"/>
                </w:tcPr>
                <w:p>
                  <w:pPr>
                    <w:rPr>
                      <w:sz w:val="22"/>
                      <w:szCs w:val="22"/>
                      <w:highlight w:val="none"/>
                    </w:rPr>
                  </w:pPr>
                  <w:r>
                    <w:rPr>
                      <w:sz w:val="22"/>
                      <w:szCs w:val="22"/>
                      <w:highlight w:val="none"/>
                    </w:rPr>
                    <w:t>整网无线覆盖信号指标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Merge w:val="continue"/>
                  <w:noWrap w:val="0"/>
                  <w:vAlign w:val="top"/>
                </w:tcPr>
                <w:p>
                  <w:pPr>
                    <w:rPr>
                      <w:sz w:val="22"/>
                      <w:szCs w:val="22"/>
                      <w:highlight w:val="none"/>
                    </w:rPr>
                  </w:pPr>
                </w:p>
              </w:tc>
              <w:tc>
                <w:tcPr>
                  <w:tcW w:w="2977" w:type="dxa"/>
                  <w:noWrap w:val="0"/>
                  <w:vAlign w:val="center"/>
                </w:tcPr>
                <w:p>
                  <w:pPr>
                    <w:rPr>
                      <w:sz w:val="22"/>
                      <w:szCs w:val="22"/>
                      <w:highlight w:val="none"/>
                    </w:rPr>
                  </w:pPr>
                  <w:r>
                    <w:rPr>
                      <w:sz w:val="22"/>
                      <w:szCs w:val="22"/>
                      <w:highlight w:val="none"/>
                    </w:rPr>
                    <w:t>无线网室内覆盖范围</w:t>
                  </w:r>
                </w:p>
              </w:tc>
              <w:tc>
                <w:tcPr>
                  <w:tcW w:w="1842" w:type="dxa"/>
                  <w:noWrap w:val="0"/>
                  <w:vAlign w:val="center"/>
                </w:tcPr>
                <w:p>
                  <w:pPr>
                    <w:rPr>
                      <w:sz w:val="22"/>
                      <w:szCs w:val="22"/>
                      <w:highlight w:val="none"/>
                    </w:rPr>
                  </w:pPr>
                  <w:r>
                    <w:rPr>
                      <w:rFonts w:hint="eastAsia" w:ascii="宋体" w:hAnsi="宋体" w:cs="宋体"/>
                      <w:sz w:val="22"/>
                      <w:szCs w:val="22"/>
                      <w:highlight w:val="none"/>
                    </w:rPr>
                    <w:t>≧</w:t>
                  </w:r>
                  <w:r>
                    <w:rPr>
                      <w:rFonts w:ascii="Calibri" w:hAnsi="Calibri" w:cs="Calibri"/>
                      <w:sz w:val="22"/>
                      <w:szCs w:val="22"/>
                      <w:highlight w:val="none"/>
                    </w:rPr>
                    <w:t>99%</w:t>
                  </w:r>
                </w:p>
              </w:tc>
              <w:tc>
                <w:tcPr>
                  <w:tcW w:w="2744" w:type="dxa"/>
                  <w:noWrap w:val="0"/>
                  <w:vAlign w:val="center"/>
                </w:tcPr>
                <w:p>
                  <w:pPr>
                    <w:rPr>
                      <w:sz w:val="22"/>
                      <w:szCs w:val="22"/>
                      <w:highlight w:val="none"/>
                    </w:rPr>
                  </w:pPr>
                  <w:r>
                    <w:rPr>
                      <w:sz w:val="22"/>
                      <w:szCs w:val="22"/>
                      <w:highlight w:val="none"/>
                    </w:rPr>
                    <w:t>覆盖区域包含：办公楼、宿舍楼、图书馆、教学楼、报告厅、会议室、音乐厅。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Merge w:val="continue"/>
                  <w:noWrap w:val="0"/>
                  <w:vAlign w:val="top"/>
                </w:tcPr>
                <w:p>
                  <w:pPr>
                    <w:rPr>
                      <w:sz w:val="22"/>
                      <w:szCs w:val="22"/>
                      <w:highlight w:val="none"/>
                    </w:rPr>
                  </w:pPr>
                </w:p>
              </w:tc>
              <w:tc>
                <w:tcPr>
                  <w:tcW w:w="2977" w:type="dxa"/>
                  <w:noWrap w:val="0"/>
                  <w:vAlign w:val="center"/>
                </w:tcPr>
                <w:p>
                  <w:pPr>
                    <w:rPr>
                      <w:sz w:val="22"/>
                      <w:szCs w:val="22"/>
                      <w:highlight w:val="none"/>
                    </w:rPr>
                  </w:pPr>
                  <w:r>
                    <w:rPr>
                      <w:sz w:val="22"/>
                      <w:szCs w:val="22"/>
                      <w:highlight w:val="none"/>
                    </w:rPr>
                    <w:t>无线网室外覆盖范围</w:t>
                  </w:r>
                </w:p>
              </w:tc>
              <w:tc>
                <w:tcPr>
                  <w:tcW w:w="1842" w:type="dxa"/>
                  <w:noWrap w:val="0"/>
                  <w:vAlign w:val="center"/>
                </w:tcPr>
                <w:p>
                  <w:pPr>
                    <w:rPr>
                      <w:sz w:val="22"/>
                      <w:szCs w:val="22"/>
                      <w:highlight w:val="none"/>
                    </w:rPr>
                  </w:pPr>
                  <w:r>
                    <w:rPr>
                      <w:rFonts w:hint="eastAsia" w:ascii="宋体" w:hAnsi="宋体" w:cs="宋体"/>
                      <w:sz w:val="22"/>
                      <w:szCs w:val="22"/>
                      <w:highlight w:val="none"/>
                    </w:rPr>
                    <w:t>≧</w:t>
                  </w:r>
                  <w:r>
                    <w:rPr>
                      <w:rFonts w:ascii="Calibri" w:hAnsi="Calibri" w:cs="Calibri"/>
                      <w:sz w:val="22"/>
                      <w:szCs w:val="22"/>
                      <w:highlight w:val="none"/>
                    </w:rPr>
                    <w:t>80%</w:t>
                  </w:r>
                </w:p>
              </w:tc>
              <w:tc>
                <w:tcPr>
                  <w:tcW w:w="2744" w:type="dxa"/>
                  <w:noWrap w:val="0"/>
                  <w:vAlign w:val="center"/>
                </w:tcPr>
                <w:p>
                  <w:pPr>
                    <w:rPr>
                      <w:sz w:val="22"/>
                      <w:szCs w:val="22"/>
                      <w:highlight w:val="none"/>
                    </w:rPr>
                  </w:pPr>
                  <w:r>
                    <w:rPr>
                      <w:sz w:val="22"/>
                      <w:szCs w:val="22"/>
                      <w:highlight w:val="none"/>
                    </w:rPr>
                    <w:t>覆盖区域包含：操场、体育馆及校内存在用户使用无线服务的空旷场所。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Merge w:val="continue"/>
                  <w:noWrap w:val="0"/>
                  <w:vAlign w:val="top"/>
                </w:tcPr>
                <w:p>
                  <w:pPr>
                    <w:rPr>
                      <w:sz w:val="22"/>
                      <w:szCs w:val="22"/>
                      <w:highlight w:val="none"/>
                    </w:rPr>
                  </w:pPr>
                </w:p>
              </w:tc>
              <w:tc>
                <w:tcPr>
                  <w:tcW w:w="2977" w:type="dxa"/>
                  <w:noWrap w:val="0"/>
                  <w:vAlign w:val="center"/>
                </w:tcPr>
                <w:p>
                  <w:pPr>
                    <w:rPr>
                      <w:sz w:val="22"/>
                      <w:szCs w:val="22"/>
                      <w:highlight w:val="none"/>
                    </w:rPr>
                  </w:pPr>
                  <w:r>
                    <w:rPr>
                      <w:sz w:val="22"/>
                      <w:szCs w:val="22"/>
                      <w:highlight w:val="none"/>
                    </w:rPr>
                    <w:t>服务时间</w:t>
                  </w:r>
                </w:p>
              </w:tc>
              <w:tc>
                <w:tcPr>
                  <w:tcW w:w="1842" w:type="dxa"/>
                  <w:noWrap w:val="0"/>
                  <w:vAlign w:val="center"/>
                </w:tcPr>
                <w:p>
                  <w:pPr>
                    <w:rPr>
                      <w:sz w:val="22"/>
                      <w:szCs w:val="22"/>
                      <w:highlight w:val="none"/>
                    </w:rPr>
                  </w:pPr>
                  <w:r>
                    <w:rPr>
                      <w:sz w:val="22"/>
                      <w:szCs w:val="22"/>
                      <w:highlight w:val="none"/>
                    </w:rPr>
                    <w:t>7*24</w:t>
                  </w:r>
                </w:p>
              </w:tc>
              <w:tc>
                <w:tcPr>
                  <w:tcW w:w="2744" w:type="dxa"/>
                  <w:noWrap w:val="0"/>
                  <w:vAlign w:val="center"/>
                </w:tcPr>
                <w:p>
                  <w:pPr>
                    <w:rPr>
                      <w:sz w:val="22"/>
                      <w:szCs w:val="22"/>
                      <w:highlight w:val="none"/>
                    </w:rPr>
                  </w:pPr>
                  <w:r>
                    <w:rPr>
                      <w:sz w:val="22"/>
                      <w:szCs w:val="22"/>
                      <w:highlight w:val="none"/>
                    </w:rPr>
                    <w:t>每周7天，每天24小时提供服务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Merge w:val="continue"/>
                  <w:noWrap w:val="0"/>
                  <w:vAlign w:val="top"/>
                </w:tcPr>
                <w:p>
                  <w:pPr>
                    <w:rPr>
                      <w:sz w:val="22"/>
                      <w:szCs w:val="22"/>
                      <w:highlight w:val="none"/>
                    </w:rPr>
                  </w:pPr>
                </w:p>
              </w:tc>
              <w:tc>
                <w:tcPr>
                  <w:tcW w:w="2977" w:type="dxa"/>
                  <w:noWrap w:val="0"/>
                  <w:vAlign w:val="center"/>
                </w:tcPr>
                <w:p>
                  <w:pPr>
                    <w:rPr>
                      <w:sz w:val="22"/>
                      <w:szCs w:val="22"/>
                      <w:highlight w:val="none"/>
                    </w:rPr>
                  </w:pPr>
                  <w:r>
                    <w:rPr>
                      <w:sz w:val="22"/>
                      <w:szCs w:val="22"/>
                      <w:highlight w:val="none"/>
                    </w:rPr>
                    <w:t>电话接通率</w:t>
                  </w:r>
                </w:p>
              </w:tc>
              <w:tc>
                <w:tcPr>
                  <w:tcW w:w="1842" w:type="dxa"/>
                  <w:noWrap w:val="0"/>
                  <w:vAlign w:val="center"/>
                </w:tcPr>
                <w:p>
                  <w:pPr>
                    <w:rPr>
                      <w:sz w:val="22"/>
                      <w:szCs w:val="22"/>
                      <w:highlight w:val="none"/>
                    </w:rPr>
                  </w:pPr>
                  <w:r>
                    <w:rPr>
                      <w:sz w:val="22"/>
                      <w:szCs w:val="22"/>
                      <w:highlight w:val="none"/>
                    </w:rPr>
                    <w:t>&gt;90%</w:t>
                  </w:r>
                </w:p>
              </w:tc>
              <w:tc>
                <w:tcPr>
                  <w:tcW w:w="2744" w:type="dxa"/>
                  <w:noWrap w:val="0"/>
                  <w:vAlign w:val="center"/>
                </w:tcPr>
                <w:p>
                  <w:pPr>
                    <w:rPr>
                      <w:sz w:val="22"/>
                      <w:szCs w:val="22"/>
                      <w:highlight w:val="none"/>
                    </w:rPr>
                  </w:pPr>
                  <w:r>
                    <w:rPr>
                      <w:sz w:val="22"/>
                      <w:szCs w:val="22"/>
                      <w:highlight w:val="none"/>
                    </w:rPr>
                    <w:t>通话数量/呼入电话总量*100%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Merge w:val="continue"/>
                  <w:noWrap w:val="0"/>
                  <w:vAlign w:val="top"/>
                </w:tcPr>
                <w:p>
                  <w:pPr>
                    <w:rPr>
                      <w:sz w:val="22"/>
                      <w:szCs w:val="22"/>
                      <w:highlight w:val="none"/>
                    </w:rPr>
                  </w:pPr>
                </w:p>
              </w:tc>
              <w:tc>
                <w:tcPr>
                  <w:tcW w:w="2977" w:type="dxa"/>
                  <w:noWrap w:val="0"/>
                  <w:vAlign w:val="center"/>
                </w:tcPr>
                <w:p>
                  <w:pPr>
                    <w:rPr>
                      <w:sz w:val="22"/>
                      <w:szCs w:val="22"/>
                      <w:highlight w:val="none"/>
                    </w:rPr>
                  </w:pPr>
                  <w:r>
                    <w:rPr>
                      <w:sz w:val="22"/>
                      <w:szCs w:val="22"/>
                      <w:highlight w:val="none"/>
                    </w:rPr>
                    <w:t>电话响应时间</w:t>
                  </w:r>
                </w:p>
              </w:tc>
              <w:tc>
                <w:tcPr>
                  <w:tcW w:w="1842" w:type="dxa"/>
                  <w:noWrap w:val="0"/>
                  <w:vAlign w:val="center"/>
                </w:tcPr>
                <w:p>
                  <w:pPr>
                    <w:rPr>
                      <w:sz w:val="22"/>
                      <w:szCs w:val="22"/>
                      <w:highlight w:val="none"/>
                    </w:rPr>
                  </w:pPr>
                  <w:r>
                    <w:rPr>
                      <w:sz w:val="22"/>
                      <w:szCs w:val="22"/>
                      <w:highlight w:val="none"/>
                    </w:rPr>
                    <w:t>&lt;30s</w:t>
                  </w:r>
                </w:p>
              </w:tc>
              <w:tc>
                <w:tcPr>
                  <w:tcW w:w="2744" w:type="dxa"/>
                  <w:noWrap w:val="0"/>
                  <w:vAlign w:val="center"/>
                </w:tcPr>
                <w:p>
                  <w:pPr>
                    <w:rPr>
                      <w:sz w:val="22"/>
                      <w:szCs w:val="22"/>
                      <w:highlight w:val="none"/>
                    </w:rPr>
                  </w:pPr>
                  <w:r>
                    <w:rPr>
                      <w:sz w:val="22"/>
                      <w:szCs w:val="22"/>
                      <w:highlight w:val="none"/>
                    </w:rPr>
                    <w:t>电话铃响到电话接起（响铃三声）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Merge w:val="continue"/>
                  <w:noWrap w:val="0"/>
                  <w:vAlign w:val="top"/>
                </w:tcPr>
                <w:p>
                  <w:pPr>
                    <w:rPr>
                      <w:sz w:val="22"/>
                      <w:szCs w:val="22"/>
                      <w:highlight w:val="none"/>
                    </w:rPr>
                  </w:pPr>
                </w:p>
              </w:tc>
              <w:tc>
                <w:tcPr>
                  <w:tcW w:w="2977" w:type="dxa"/>
                  <w:noWrap w:val="0"/>
                  <w:vAlign w:val="center"/>
                </w:tcPr>
                <w:p>
                  <w:pPr>
                    <w:rPr>
                      <w:sz w:val="22"/>
                      <w:szCs w:val="22"/>
                      <w:highlight w:val="none"/>
                    </w:rPr>
                  </w:pPr>
                  <w:r>
                    <w:rPr>
                      <w:sz w:val="22"/>
                      <w:szCs w:val="22"/>
                      <w:highlight w:val="none"/>
                    </w:rPr>
                    <w:t>事件承诺时效解决率</w:t>
                  </w:r>
                </w:p>
              </w:tc>
              <w:tc>
                <w:tcPr>
                  <w:tcW w:w="1842" w:type="dxa"/>
                  <w:noWrap w:val="0"/>
                  <w:vAlign w:val="center"/>
                </w:tcPr>
                <w:p>
                  <w:pPr>
                    <w:rPr>
                      <w:sz w:val="22"/>
                      <w:szCs w:val="22"/>
                      <w:highlight w:val="none"/>
                    </w:rPr>
                  </w:pPr>
                  <w:r>
                    <w:rPr>
                      <w:sz w:val="22"/>
                      <w:szCs w:val="22"/>
                      <w:highlight w:val="none"/>
                    </w:rPr>
                    <w:t>&gt;90%</w:t>
                  </w:r>
                </w:p>
              </w:tc>
              <w:tc>
                <w:tcPr>
                  <w:tcW w:w="2744" w:type="dxa"/>
                  <w:noWrap w:val="0"/>
                  <w:vAlign w:val="center"/>
                </w:tcPr>
                <w:p>
                  <w:pPr>
                    <w:rPr>
                      <w:sz w:val="22"/>
                      <w:szCs w:val="22"/>
                      <w:highlight w:val="none"/>
                    </w:rPr>
                  </w:pPr>
                  <w:r>
                    <w:rPr>
                      <w:sz w:val="22"/>
                      <w:szCs w:val="22"/>
                      <w:highlight w:val="none"/>
                    </w:rPr>
                    <w:t>按时效解决Case数量/Case总数量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Merge w:val="continue"/>
                  <w:noWrap w:val="0"/>
                  <w:vAlign w:val="top"/>
                </w:tcPr>
                <w:p>
                  <w:pPr>
                    <w:rPr>
                      <w:sz w:val="22"/>
                      <w:szCs w:val="22"/>
                      <w:highlight w:val="none"/>
                    </w:rPr>
                  </w:pPr>
                </w:p>
              </w:tc>
              <w:tc>
                <w:tcPr>
                  <w:tcW w:w="2977" w:type="dxa"/>
                  <w:noWrap w:val="0"/>
                  <w:vAlign w:val="center"/>
                </w:tcPr>
                <w:p>
                  <w:pPr>
                    <w:rPr>
                      <w:sz w:val="22"/>
                      <w:szCs w:val="22"/>
                      <w:highlight w:val="none"/>
                    </w:rPr>
                  </w:pPr>
                  <w:r>
                    <w:rPr>
                      <w:sz w:val="22"/>
                      <w:szCs w:val="22"/>
                      <w:highlight w:val="none"/>
                    </w:rPr>
                    <w:t>服务台事件一次处结率</w:t>
                  </w:r>
                </w:p>
              </w:tc>
              <w:tc>
                <w:tcPr>
                  <w:tcW w:w="1842" w:type="dxa"/>
                  <w:noWrap w:val="0"/>
                  <w:vAlign w:val="center"/>
                </w:tcPr>
                <w:p>
                  <w:pPr>
                    <w:rPr>
                      <w:sz w:val="22"/>
                      <w:szCs w:val="22"/>
                      <w:highlight w:val="none"/>
                    </w:rPr>
                  </w:pPr>
                  <w:r>
                    <w:rPr>
                      <w:sz w:val="22"/>
                      <w:szCs w:val="22"/>
                      <w:highlight w:val="none"/>
                    </w:rPr>
                    <w:t>&gt;70%</w:t>
                  </w:r>
                </w:p>
              </w:tc>
              <w:tc>
                <w:tcPr>
                  <w:tcW w:w="2744" w:type="dxa"/>
                  <w:noWrap w:val="0"/>
                  <w:vAlign w:val="center"/>
                </w:tcPr>
                <w:p>
                  <w:pPr>
                    <w:rPr>
                      <w:sz w:val="22"/>
                      <w:szCs w:val="22"/>
                      <w:highlight w:val="none"/>
                    </w:rPr>
                  </w:pPr>
                  <w:r>
                    <w:rPr>
                      <w:sz w:val="22"/>
                      <w:szCs w:val="22"/>
                      <w:highlight w:val="none"/>
                    </w:rPr>
                    <w:t>（1-转入二线事件/总CASE数量）*100%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Merge w:val="restart"/>
                  <w:noWrap w:val="0"/>
                  <w:vAlign w:val="center"/>
                </w:tcPr>
                <w:p>
                  <w:pPr>
                    <w:jc w:val="center"/>
                    <w:rPr>
                      <w:sz w:val="22"/>
                      <w:szCs w:val="22"/>
                      <w:highlight w:val="none"/>
                    </w:rPr>
                  </w:pPr>
                  <w:r>
                    <w:rPr>
                      <w:sz w:val="22"/>
                      <w:szCs w:val="22"/>
                      <w:highlight w:val="none"/>
                    </w:rPr>
                    <w:t>事件管理</w:t>
                  </w:r>
                </w:p>
              </w:tc>
              <w:tc>
                <w:tcPr>
                  <w:tcW w:w="2977" w:type="dxa"/>
                  <w:noWrap w:val="0"/>
                  <w:vAlign w:val="center"/>
                </w:tcPr>
                <w:p>
                  <w:pPr>
                    <w:rPr>
                      <w:sz w:val="22"/>
                      <w:szCs w:val="22"/>
                      <w:highlight w:val="none"/>
                    </w:rPr>
                  </w:pPr>
                  <w:r>
                    <w:rPr>
                      <w:sz w:val="22"/>
                      <w:szCs w:val="22"/>
                      <w:highlight w:val="none"/>
                    </w:rPr>
                    <w:t>事件录入率</w:t>
                  </w:r>
                </w:p>
              </w:tc>
              <w:tc>
                <w:tcPr>
                  <w:tcW w:w="1842" w:type="dxa"/>
                  <w:noWrap w:val="0"/>
                  <w:vAlign w:val="center"/>
                </w:tcPr>
                <w:p>
                  <w:pPr>
                    <w:rPr>
                      <w:sz w:val="22"/>
                      <w:szCs w:val="22"/>
                      <w:highlight w:val="none"/>
                    </w:rPr>
                  </w:pPr>
                  <w:r>
                    <w:rPr>
                      <w:sz w:val="22"/>
                      <w:szCs w:val="22"/>
                      <w:highlight w:val="none"/>
                    </w:rPr>
                    <w:t>&gt;99%</w:t>
                  </w:r>
                </w:p>
              </w:tc>
              <w:tc>
                <w:tcPr>
                  <w:tcW w:w="2744" w:type="dxa"/>
                  <w:noWrap w:val="0"/>
                  <w:vAlign w:val="center"/>
                </w:tcPr>
                <w:p>
                  <w:pPr>
                    <w:rPr>
                      <w:sz w:val="22"/>
                      <w:szCs w:val="22"/>
                      <w:highlight w:val="none"/>
                    </w:rPr>
                  </w:pPr>
                  <w:r>
                    <w:rPr>
                      <w:sz w:val="22"/>
                      <w:szCs w:val="22"/>
                      <w:highlight w:val="none"/>
                    </w:rPr>
                    <w:t>事件总数量/有效通话总数量*100%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Merge w:val="continue"/>
                  <w:noWrap w:val="0"/>
                  <w:vAlign w:val="center"/>
                </w:tcPr>
                <w:p>
                  <w:pPr>
                    <w:jc w:val="center"/>
                    <w:rPr>
                      <w:sz w:val="22"/>
                      <w:szCs w:val="22"/>
                      <w:highlight w:val="none"/>
                    </w:rPr>
                  </w:pPr>
                </w:p>
              </w:tc>
              <w:tc>
                <w:tcPr>
                  <w:tcW w:w="2977" w:type="dxa"/>
                  <w:noWrap w:val="0"/>
                  <w:vAlign w:val="center"/>
                </w:tcPr>
                <w:p>
                  <w:pPr>
                    <w:rPr>
                      <w:sz w:val="22"/>
                      <w:szCs w:val="22"/>
                      <w:highlight w:val="none"/>
                    </w:rPr>
                  </w:pPr>
                  <w:r>
                    <w:rPr>
                      <w:sz w:val="22"/>
                      <w:szCs w:val="22"/>
                      <w:highlight w:val="none"/>
                    </w:rPr>
                    <w:t>信息准确率</w:t>
                  </w:r>
                </w:p>
              </w:tc>
              <w:tc>
                <w:tcPr>
                  <w:tcW w:w="1842" w:type="dxa"/>
                  <w:noWrap w:val="0"/>
                  <w:vAlign w:val="center"/>
                </w:tcPr>
                <w:p>
                  <w:pPr>
                    <w:rPr>
                      <w:sz w:val="22"/>
                      <w:szCs w:val="22"/>
                      <w:highlight w:val="none"/>
                    </w:rPr>
                  </w:pPr>
                  <w:r>
                    <w:rPr>
                      <w:sz w:val="22"/>
                      <w:szCs w:val="22"/>
                      <w:highlight w:val="none"/>
                    </w:rPr>
                    <w:t>&gt;99%</w:t>
                  </w:r>
                </w:p>
              </w:tc>
              <w:tc>
                <w:tcPr>
                  <w:tcW w:w="2744" w:type="dxa"/>
                  <w:noWrap w:val="0"/>
                  <w:vAlign w:val="center"/>
                </w:tcPr>
                <w:p>
                  <w:pPr>
                    <w:ind w:firstLine="440" w:firstLineChars="200"/>
                    <w:rPr>
                      <w:sz w:val="22"/>
                      <w:szCs w:val="22"/>
                      <w:highlight w:val="none"/>
                    </w:rPr>
                  </w:pPr>
                  <w:r>
                    <w:rPr>
                      <w:sz w:val="22"/>
                      <w:szCs w:val="22"/>
                      <w:highlight w:val="none"/>
                    </w:rPr>
                    <w:t>（1-错误Case数/总Case）*100%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Merge w:val="continue"/>
                  <w:noWrap w:val="0"/>
                  <w:vAlign w:val="center"/>
                </w:tcPr>
                <w:p>
                  <w:pPr>
                    <w:jc w:val="center"/>
                    <w:rPr>
                      <w:sz w:val="22"/>
                      <w:szCs w:val="22"/>
                      <w:highlight w:val="none"/>
                    </w:rPr>
                  </w:pPr>
                </w:p>
              </w:tc>
              <w:tc>
                <w:tcPr>
                  <w:tcW w:w="2977" w:type="dxa"/>
                  <w:noWrap w:val="0"/>
                  <w:vAlign w:val="center"/>
                </w:tcPr>
                <w:p>
                  <w:pPr>
                    <w:rPr>
                      <w:sz w:val="22"/>
                      <w:szCs w:val="22"/>
                      <w:highlight w:val="none"/>
                    </w:rPr>
                  </w:pPr>
                  <w:r>
                    <w:rPr>
                      <w:sz w:val="22"/>
                      <w:szCs w:val="22"/>
                      <w:highlight w:val="none"/>
                    </w:rPr>
                    <w:t>现场服务时间（老师）</w:t>
                  </w:r>
                </w:p>
              </w:tc>
              <w:tc>
                <w:tcPr>
                  <w:tcW w:w="1842" w:type="dxa"/>
                  <w:noWrap w:val="0"/>
                  <w:vAlign w:val="center"/>
                </w:tcPr>
                <w:p>
                  <w:pPr>
                    <w:rPr>
                      <w:sz w:val="22"/>
                      <w:szCs w:val="22"/>
                      <w:highlight w:val="none"/>
                    </w:rPr>
                  </w:pPr>
                  <w:r>
                    <w:rPr>
                      <w:sz w:val="22"/>
                      <w:szCs w:val="22"/>
                      <w:highlight w:val="none"/>
                    </w:rPr>
                    <w:t>7*24</w:t>
                  </w:r>
                </w:p>
              </w:tc>
              <w:tc>
                <w:tcPr>
                  <w:tcW w:w="2744" w:type="dxa"/>
                  <w:noWrap w:val="0"/>
                  <w:vAlign w:val="center"/>
                </w:tcPr>
                <w:p>
                  <w:pPr>
                    <w:rPr>
                      <w:sz w:val="22"/>
                      <w:szCs w:val="22"/>
                      <w:highlight w:val="none"/>
                    </w:rPr>
                  </w:pPr>
                  <w:r>
                    <w:rPr>
                      <w:sz w:val="22"/>
                      <w:szCs w:val="22"/>
                      <w:highlight w:val="none"/>
                    </w:rPr>
                    <w:t>每周7天，24小时提供上门服务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Merge w:val="continue"/>
                  <w:noWrap w:val="0"/>
                  <w:vAlign w:val="center"/>
                </w:tcPr>
                <w:p>
                  <w:pPr>
                    <w:jc w:val="center"/>
                    <w:rPr>
                      <w:sz w:val="22"/>
                      <w:szCs w:val="22"/>
                      <w:highlight w:val="none"/>
                    </w:rPr>
                  </w:pPr>
                </w:p>
              </w:tc>
              <w:tc>
                <w:tcPr>
                  <w:tcW w:w="2977" w:type="dxa"/>
                  <w:noWrap w:val="0"/>
                  <w:vAlign w:val="center"/>
                </w:tcPr>
                <w:p>
                  <w:pPr>
                    <w:rPr>
                      <w:sz w:val="22"/>
                      <w:szCs w:val="22"/>
                      <w:highlight w:val="none"/>
                    </w:rPr>
                  </w:pPr>
                  <w:r>
                    <w:rPr>
                      <w:sz w:val="22"/>
                      <w:szCs w:val="22"/>
                      <w:highlight w:val="none"/>
                    </w:rPr>
                    <w:t>现场服务时间（学生）</w:t>
                  </w:r>
                </w:p>
              </w:tc>
              <w:tc>
                <w:tcPr>
                  <w:tcW w:w="1842" w:type="dxa"/>
                  <w:noWrap w:val="0"/>
                  <w:vAlign w:val="center"/>
                </w:tcPr>
                <w:p>
                  <w:pPr>
                    <w:rPr>
                      <w:sz w:val="22"/>
                      <w:szCs w:val="22"/>
                      <w:highlight w:val="none"/>
                    </w:rPr>
                  </w:pPr>
                  <w:r>
                    <w:rPr>
                      <w:sz w:val="22"/>
                      <w:szCs w:val="22"/>
                      <w:highlight w:val="none"/>
                    </w:rPr>
                    <w:t>7*14</w:t>
                  </w:r>
                </w:p>
              </w:tc>
              <w:tc>
                <w:tcPr>
                  <w:tcW w:w="2744" w:type="dxa"/>
                  <w:noWrap w:val="0"/>
                  <w:vAlign w:val="center"/>
                </w:tcPr>
                <w:p>
                  <w:pPr>
                    <w:rPr>
                      <w:sz w:val="22"/>
                      <w:szCs w:val="22"/>
                      <w:highlight w:val="none"/>
                    </w:rPr>
                  </w:pPr>
                  <w:r>
                    <w:rPr>
                      <w:sz w:val="22"/>
                      <w:szCs w:val="22"/>
                      <w:highlight w:val="none"/>
                    </w:rPr>
                    <w:t>每周7天，8:30~22:30提供上门服务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Merge w:val="continue"/>
                  <w:noWrap w:val="0"/>
                  <w:vAlign w:val="center"/>
                </w:tcPr>
                <w:p>
                  <w:pPr>
                    <w:jc w:val="center"/>
                    <w:rPr>
                      <w:sz w:val="22"/>
                      <w:szCs w:val="22"/>
                      <w:highlight w:val="none"/>
                    </w:rPr>
                  </w:pPr>
                </w:p>
              </w:tc>
              <w:tc>
                <w:tcPr>
                  <w:tcW w:w="2977" w:type="dxa"/>
                  <w:noWrap w:val="0"/>
                  <w:vAlign w:val="center"/>
                </w:tcPr>
                <w:p>
                  <w:pPr>
                    <w:rPr>
                      <w:sz w:val="22"/>
                      <w:szCs w:val="22"/>
                      <w:highlight w:val="none"/>
                    </w:rPr>
                  </w:pPr>
                  <w:r>
                    <w:rPr>
                      <w:sz w:val="22"/>
                      <w:szCs w:val="22"/>
                      <w:highlight w:val="none"/>
                    </w:rPr>
                    <w:t>紧急事件到场时间</w:t>
                  </w:r>
                </w:p>
              </w:tc>
              <w:tc>
                <w:tcPr>
                  <w:tcW w:w="1842" w:type="dxa"/>
                  <w:noWrap w:val="0"/>
                  <w:vAlign w:val="center"/>
                </w:tcPr>
                <w:p>
                  <w:pPr>
                    <w:rPr>
                      <w:sz w:val="22"/>
                      <w:szCs w:val="22"/>
                      <w:highlight w:val="none"/>
                    </w:rPr>
                  </w:pPr>
                  <w:r>
                    <w:rPr>
                      <w:sz w:val="22"/>
                      <w:szCs w:val="22"/>
                      <w:highlight w:val="none"/>
                    </w:rPr>
                    <w:t>0.5h</w:t>
                  </w:r>
                </w:p>
              </w:tc>
              <w:tc>
                <w:tcPr>
                  <w:tcW w:w="2744" w:type="dxa"/>
                  <w:noWrap w:val="0"/>
                  <w:vAlign w:val="center"/>
                </w:tcPr>
                <w:p>
                  <w:pPr>
                    <w:rPr>
                      <w:sz w:val="22"/>
                      <w:szCs w:val="22"/>
                      <w:highlight w:val="none"/>
                    </w:rPr>
                  </w:pPr>
                  <w:r>
                    <w:rPr>
                      <w:sz w:val="22"/>
                      <w:szCs w:val="22"/>
                      <w:highlight w:val="none"/>
                    </w:rPr>
                    <w:t>接到派单时间至到达现场时间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Merge w:val="continue"/>
                  <w:noWrap w:val="0"/>
                  <w:vAlign w:val="center"/>
                </w:tcPr>
                <w:p>
                  <w:pPr>
                    <w:jc w:val="center"/>
                    <w:rPr>
                      <w:sz w:val="22"/>
                      <w:szCs w:val="22"/>
                      <w:highlight w:val="none"/>
                    </w:rPr>
                  </w:pPr>
                </w:p>
              </w:tc>
              <w:tc>
                <w:tcPr>
                  <w:tcW w:w="2977" w:type="dxa"/>
                  <w:noWrap w:val="0"/>
                  <w:vAlign w:val="center"/>
                </w:tcPr>
                <w:p>
                  <w:pPr>
                    <w:rPr>
                      <w:sz w:val="22"/>
                      <w:szCs w:val="22"/>
                      <w:highlight w:val="none"/>
                    </w:rPr>
                  </w:pPr>
                  <w:r>
                    <w:rPr>
                      <w:sz w:val="22"/>
                      <w:szCs w:val="22"/>
                      <w:highlight w:val="none"/>
                    </w:rPr>
                    <w:t>紧急事件恢复时间</w:t>
                  </w:r>
                </w:p>
              </w:tc>
              <w:tc>
                <w:tcPr>
                  <w:tcW w:w="1842" w:type="dxa"/>
                  <w:noWrap w:val="0"/>
                  <w:vAlign w:val="center"/>
                </w:tcPr>
                <w:p>
                  <w:pPr>
                    <w:rPr>
                      <w:sz w:val="22"/>
                      <w:szCs w:val="22"/>
                      <w:highlight w:val="none"/>
                    </w:rPr>
                  </w:pPr>
                  <w:r>
                    <w:rPr>
                      <w:sz w:val="22"/>
                      <w:szCs w:val="22"/>
                      <w:highlight w:val="none"/>
                    </w:rPr>
                    <w:t>1.0h</w:t>
                  </w:r>
                </w:p>
              </w:tc>
              <w:tc>
                <w:tcPr>
                  <w:tcW w:w="2744" w:type="dxa"/>
                  <w:noWrap w:val="0"/>
                  <w:vAlign w:val="center"/>
                </w:tcPr>
                <w:p>
                  <w:pPr>
                    <w:rPr>
                      <w:sz w:val="22"/>
                      <w:szCs w:val="22"/>
                      <w:highlight w:val="none"/>
                    </w:rPr>
                  </w:pPr>
                  <w:r>
                    <w:rPr>
                      <w:sz w:val="22"/>
                      <w:szCs w:val="22"/>
                      <w:highlight w:val="none"/>
                    </w:rPr>
                    <w:t>接到派单时间至到达现场时间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Merge w:val="continue"/>
                  <w:noWrap w:val="0"/>
                  <w:vAlign w:val="center"/>
                </w:tcPr>
                <w:p>
                  <w:pPr>
                    <w:jc w:val="center"/>
                    <w:rPr>
                      <w:sz w:val="22"/>
                      <w:szCs w:val="22"/>
                      <w:highlight w:val="none"/>
                    </w:rPr>
                  </w:pPr>
                </w:p>
              </w:tc>
              <w:tc>
                <w:tcPr>
                  <w:tcW w:w="2977" w:type="dxa"/>
                  <w:noWrap w:val="0"/>
                  <w:vAlign w:val="center"/>
                </w:tcPr>
                <w:p>
                  <w:pPr>
                    <w:rPr>
                      <w:sz w:val="22"/>
                      <w:szCs w:val="22"/>
                      <w:highlight w:val="none"/>
                    </w:rPr>
                  </w:pPr>
                  <w:r>
                    <w:rPr>
                      <w:sz w:val="22"/>
                      <w:szCs w:val="22"/>
                      <w:highlight w:val="none"/>
                    </w:rPr>
                    <w:t>高优先级事件到场时间</w:t>
                  </w:r>
                </w:p>
              </w:tc>
              <w:tc>
                <w:tcPr>
                  <w:tcW w:w="1842" w:type="dxa"/>
                  <w:noWrap w:val="0"/>
                  <w:vAlign w:val="center"/>
                </w:tcPr>
                <w:p>
                  <w:pPr>
                    <w:rPr>
                      <w:sz w:val="22"/>
                      <w:szCs w:val="22"/>
                      <w:highlight w:val="none"/>
                    </w:rPr>
                  </w:pPr>
                  <w:r>
                    <w:rPr>
                      <w:sz w:val="22"/>
                      <w:szCs w:val="22"/>
                      <w:highlight w:val="none"/>
                    </w:rPr>
                    <w:t>0.5h</w:t>
                  </w:r>
                </w:p>
              </w:tc>
              <w:tc>
                <w:tcPr>
                  <w:tcW w:w="2744" w:type="dxa"/>
                  <w:noWrap w:val="0"/>
                  <w:vAlign w:val="center"/>
                </w:tcPr>
                <w:p>
                  <w:pPr>
                    <w:rPr>
                      <w:sz w:val="22"/>
                      <w:szCs w:val="22"/>
                      <w:highlight w:val="none"/>
                    </w:rPr>
                  </w:pPr>
                  <w:r>
                    <w:rPr>
                      <w:sz w:val="22"/>
                      <w:szCs w:val="22"/>
                      <w:highlight w:val="none"/>
                    </w:rPr>
                    <w:t>接到派单时间至到达现场时间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Merge w:val="continue"/>
                  <w:noWrap w:val="0"/>
                  <w:vAlign w:val="center"/>
                </w:tcPr>
                <w:p>
                  <w:pPr>
                    <w:jc w:val="center"/>
                    <w:rPr>
                      <w:sz w:val="22"/>
                      <w:szCs w:val="22"/>
                      <w:highlight w:val="none"/>
                    </w:rPr>
                  </w:pPr>
                </w:p>
              </w:tc>
              <w:tc>
                <w:tcPr>
                  <w:tcW w:w="2977" w:type="dxa"/>
                  <w:noWrap w:val="0"/>
                  <w:vAlign w:val="center"/>
                </w:tcPr>
                <w:p>
                  <w:pPr>
                    <w:rPr>
                      <w:sz w:val="22"/>
                      <w:szCs w:val="22"/>
                      <w:highlight w:val="none"/>
                    </w:rPr>
                  </w:pPr>
                  <w:r>
                    <w:rPr>
                      <w:sz w:val="22"/>
                      <w:szCs w:val="22"/>
                      <w:highlight w:val="none"/>
                    </w:rPr>
                    <w:t>高优先级事件恢复时间</w:t>
                  </w:r>
                </w:p>
              </w:tc>
              <w:tc>
                <w:tcPr>
                  <w:tcW w:w="1842" w:type="dxa"/>
                  <w:noWrap w:val="0"/>
                  <w:vAlign w:val="center"/>
                </w:tcPr>
                <w:p>
                  <w:pPr>
                    <w:rPr>
                      <w:sz w:val="22"/>
                      <w:szCs w:val="22"/>
                      <w:highlight w:val="none"/>
                    </w:rPr>
                  </w:pPr>
                  <w:r>
                    <w:rPr>
                      <w:sz w:val="22"/>
                      <w:szCs w:val="22"/>
                      <w:highlight w:val="none"/>
                    </w:rPr>
                    <w:t>2.0h</w:t>
                  </w:r>
                </w:p>
              </w:tc>
              <w:tc>
                <w:tcPr>
                  <w:tcW w:w="2744" w:type="dxa"/>
                  <w:noWrap w:val="0"/>
                  <w:vAlign w:val="center"/>
                </w:tcPr>
                <w:p>
                  <w:pPr>
                    <w:rPr>
                      <w:sz w:val="22"/>
                      <w:szCs w:val="22"/>
                      <w:highlight w:val="none"/>
                    </w:rPr>
                  </w:pPr>
                  <w:r>
                    <w:rPr>
                      <w:sz w:val="22"/>
                      <w:szCs w:val="22"/>
                      <w:highlight w:val="none"/>
                    </w:rPr>
                    <w:t>接到派单时间至到达现场时间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Merge w:val="continue"/>
                  <w:noWrap w:val="0"/>
                  <w:vAlign w:val="center"/>
                </w:tcPr>
                <w:p>
                  <w:pPr>
                    <w:jc w:val="center"/>
                    <w:rPr>
                      <w:sz w:val="22"/>
                      <w:szCs w:val="22"/>
                      <w:highlight w:val="none"/>
                    </w:rPr>
                  </w:pPr>
                </w:p>
              </w:tc>
              <w:tc>
                <w:tcPr>
                  <w:tcW w:w="2977" w:type="dxa"/>
                  <w:noWrap w:val="0"/>
                  <w:vAlign w:val="center"/>
                </w:tcPr>
                <w:p>
                  <w:pPr>
                    <w:rPr>
                      <w:sz w:val="22"/>
                      <w:szCs w:val="22"/>
                      <w:highlight w:val="none"/>
                    </w:rPr>
                  </w:pPr>
                  <w:r>
                    <w:rPr>
                      <w:sz w:val="22"/>
                      <w:szCs w:val="22"/>
                      <w:highlight w:val="none"/>
                    </w:rPr>
                    <w:t>中优先级事件到场时间</w:t>
                  </w:r>
                </w:p>
              </w:tc>
              <w:tc>
                <w:tcPr>
                  <w:tcW w:w="1842" w:type="dxa"/>
                  <w:noWrap w:val="0"/>
                  <w:vAlign w:val="center"/>
                </w:tcPr>
                <w:p>
                  <w:pPr>
                    <w:rPr>
                      <w:sz w:val="22"/>
                      <w:szCs w:val="22"/>
                      <w:highlight w:val="none"/>
                    </w:rPr>
                  </w:pPr>
                  <w:r>
                    <w:rPr>
                      <w:sz w:val="22"/>
                      <w:szCs w:val="22"/>
                      <w:highlight w:val="none"/>
                    </w:rPr>
                    <w:t>2.0h</w:t>
                  </w:r>
                </w:p>
              </w:tc>
              <w:tc>
                <w:tcPr>
                  <w:tcW w:w="2744" w:type="dxa"/>
                  <w:noWrap w:val="0"/>
                  <w:vAlign w:val="center"/>
                </w:tcPr>
                <w:p>
                  <w:pPr>
                    <w:rPr>
                      <w:sz w:val="22"/>
                      <w:szCs w:val="22"/>
                      <w:highlight w:val="none"/>
                    </w:rPr>
                  </w:pPr>
                  <w:r>
                    <w:rPr>
                      <w:sz w:val="22"/>
                      <w:szCs w:val="22"/>
                      <w:highlight w:val="none"/>
                    </w:rPr>
                    <w:t>接到派单时间至到达现场时间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Merge w:val="continue"/>
                  <w:noWrap w:val="0"/>
                  <w:vAlign w:val="center"/>
                </w:tcPr>
                <w:p>
                  <w:pPr>
                    <w:jc w:val="center"/>
                    <w:rPr>
                      <w:sz w:val="22"/>
                      <w:szCs w:val="22"/>
                      <w:highlight w:val="none"/>
                    </w:rPr>
                  </w:pPr>
                </w:p>
              </w:tc>
              <w:tc>
                <w:tcPr>
                  <w:tcW w:w="2977" w:type="dxa"/>
                  <w:noWrap w:val="0"/>
                  <w:vAlign w:val="center"/>
                </w:tcPr>
                <w:p>
                  <w:pPr>
                    <w:rPr>
                      <w:sz w:val="22"/>
                      <w:szCs w:val="22"/>
                      <w:highlight w:val="none"/>
                    </w:rPr>
                  </w:pPr>
                  <w:r>
                    <w:rPr>
                      <w:sz w:val="22"/>
                      <w:szCs w:val="22"/>
                      <w:highlight w:val="none"/>
                    </w:rPr>
                    <w:t>中优先级事件恢复时间</w:t>
                  </w:r>
                </w:p>
              </w:tc>
              <w:tc>
                <w:tcPr>
                  <w:tcW w:w="1842" w:type="dxa"/>
                  <w:noWrap w:val="0"/>
                  <w:vAlign w:val="center"/>
                </w:tcPr>
                <w:p>
                  <w:pPr>
                    <w:rPr>
                      <w:sz w:val="22"/>
                      <w:szCs w:val="22"/>
                      <w:highlight w:val="none"/>
                    </w:rPr>
                  </w:pPr>
                  <w:r>
                    <w:rPr>
                      <w:sz w:val="22"/>
                      <w:szCs w:val="22"/>
                      <w:highlight w:val="none"/>
                    </w:rPr>
                    <w:t>4.0h</w:t>
                  </w:r>
                </w:p>
              </w:tc>
              <w:tc>
                <w:tcPr>
                  <w:tcW w:w="2744" w:type="dxa"/>
                  <w:noWrap w:val="0"/>
                  <w:vAlign w:val="center"/>
                </w:tcPr>
                <w:p>
                  <w:pPr>
                    <w:rPr>
                      <w:sz w:val="22"/>
                      <w:szCs w:val="22"/>
                      <w:highlight w:val="none"/>
                    </w:rPr>
                  </w:pPr>
                  <w:r>
                    <w:rPr>
                      <w:sz w:val="22"/>
                      <w:szCs w:val="22"/>
                      <w:highlight w:val="none"/>
                    </w:rPr>
                    <w:t>接到派单时间至到达现场时间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Merge w:val="continue"/>
                  <w:noWrap w:val="0"/>
                  <w:vAlign w:val="center"/>
                </w:tcPr>
                <w:p>
                  <w:pPr>
                    <w:jc w:val="center"/>
                    <w:rPr>
                      <w:sz w:val="22"/>
                      <w:szCs w:val="22"/>
                      <w:highlight w:val="none"/>
                    </w:rPr>
                  </w:pPr>
                </w:p>
              </w:tc>
              <w:tc>
                <w:tcPr>
                  <w:tcW w:w="2977" w:type="dxa"/>
                  <w:noWrap w:val="0"/>
                  <w:vAlign w:val="center"/>
                </w:tcPr>
                <w:p>
                  <w:pPr>
                    <w:rPr>
                      <w:sz w:val="22"/>
                      <w:szCs w:val="22"/>
                      <w:highlight w:val="none"/>
                    </w:rPr>
                  </w:pPr>
                  <w:r>
                    <w:rPr>
                      <w:sz w:val="22"/>
                      <w:szCs w:val="22"/>
                      <w:highlight w:val="none"/>
                    </w:rPr>
                    <w:t>低优先级事件到场时间</w:t>
                  </w:r>
                </w:p>
              </w:tc>
              <w:tc>
                <w:tcPr>
                  <w:tcW w:w="1842" w:type="dxa"/>
                  <w:noWrap w:val="0"/>
                  <w:vAlign w:val="center"/>
                </w:tcPr>
                <w:p>
                  <w:pPr>
                    <w:rPr>
                      <w:sz w:val="22"/>
                      <w:szCs w:val="22"/>
                      <w:highlight w:val="none"/>
                    </w:rPr>
                  </w:pPr>
                  <w:r>
                    <w:rPr>
                      <w:sz w:val="22"/>
                      <w:szCs w:val="22"/>
                      <w:highlight w:val="none"/>
                    </w:rPr>
                    <w:t>8.0h</w:t>
                  </w:r>
                </w:p>
              </w:tc>
              <w:tc>
                <w:tcPr>
                  <w:tcW w:w="2744" w:type="dxa"/>
                  <w:noWrap w:val="0"/>
                  <w:vAlign w:val="center"/>
                </w:tcPr>
                <w:p>
                  <w:pPr>
                    <w:rPr>
                      <w:sz w:val="22"/>
                      <w:szCs w:val="22"/>
                      <w:highlight w:val="none"/>
                    </w:rPr>
                  </w:pPr>
                  <w:r>
                    <w:rPr>
                      <w:sz w:val="22"/>
                      <w:szCs w:val="22"/>
                      <w:highlight w:val="none"/>
                    </w:rPr>
                    <w:t>接到派单时间至到达现场时间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Merge w:val="continue"/>
                  <w:noWrap w:val="0"/>
                  <w:vAlign w:val="center"/>
                </w:tcPr>
                <w:p>
                  <w:pPr>
                    <w:jc w:val="center"/>
                    <w:rPr>
                      <w:sz w:val="22"/>
                      <w:szCs w:val="22"/>
                      <w:highlight w:val="none"/>
                    </w:rPr>
                  </w:pPr>
                </w:p>
              </w:tc>
              <w:tc>
                <w:tcPr>
                  <w:tcW w:w="2977" w:type="dxa"/>
                  <w:noWrap w:val="0"/>
                  <w:vAlign w:val="center"/>
                </w:tcPr>
                <w:p>
                  <w:pPr>
                    <w:rPr>
                      <w:sz w:val="22"/>
                      <w:szCs w:val="22"/>
                      <w:highlight w:val="none"/>
                    </w:rPr>
                  </w:pPr>
                  <w:r>
                    <w:rPr>
                      <w:sz w:val="22"/>
                      <w:szCs w:val="22"/>
                      <w:highlight w:val="none"/>
                    </w:rPr>
                    <w:t>低优先级事件恢复时间</w:t>
                  </w:r>
                </w:p>
              </w:tc>
              <w:tc>
                <w:tcPr>
                  <w:tcW w:w="1842" w:type="dxa"/>
                  <w:noWrap w:val="0"/>
                  <w:vAlign w:val="center"/>
                </w:tcPr>
                <w:p>
                  <w:pPr>
                    <w:rPr>
                      <w:sz w:val="22"/>
                      <w:szCs w:val="22"/>
                      <w:highlight w:val="none"/>
                    </w:rPr>
                  </w:pPr>
                  <w:r>
                    <w:rPr>
                      <w:sz w:val="22"/>
                      <w:szCs w:val="22"/>
                      <w:highlight w:val="none"/>
                    </w:rPr>
                    <w:t>14h</w:t>
                  </w:r>
                </w:p>
              </w:tc>
              <w:tc>
                <w:tcPr>
                  <w:tcW w:w="2744" w:type="dxa"/>
                  <w:noWrap w:val="0"/>
                  <w:vAlign w:val="center"/>
                </w:tcPr>
                <w:p>
                  <w:pPr>
                    <w:rPr>
                      <w:sz w:val="22"/>
                      <w:szCs w:val="22"/>
                      <w:highlight w:val="none"/>
                    </w:rPr>
                  </w:pPr>
                  <w:r>
                    <w:rPr>
                      <w:sz w:val="22"/>
                      <w:szCs w:val="22"/>
                      <w:highlight w:val="none"/>
                    </w:rPr>
                    <w:t>接到派单时间至到达现场时间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Merge w:val="restart"/>
                  <w:noWrap w:val="0"/>
                  <w:vAlign w:val="center"/>
                </w:tcPr>
                <w:p>
                  <w:pPr>
                    <w:jc w:val="center"/>
                    <w:rPr>
                      <w:sz w:val="22"/>
                      <w:szCs w:val="22"/>
                      <w:highlight w:val="none"/>
                    </w:rPr>
                  </w:pPr>
                  <w:r>
                    <w:rPr>
                      <w:sz w:val="22"/>
                      <w:szCs w:val="22"/>
                      <w:highlight w:val="none"/>
                    </w:rPr>
                    <w:t>配置管理</w:t>
                  </w:r>
                </w:p>
              </w:tc>
              <w:tc>
                <w:tcPr>
                  <w:tcW w:w="2977" w:type="dxa"/>
                  <w:noWrap w:val="0"/>
                  <w:vAlign w:val="center"/>
                </w:tcPr>
                <w:p>
                  <w:pPr>
                    <w:rPr>
                      <w:sz w:val="22"/>
                      <w:szCs w:val="22"/>
                      <w:highlight w:val="none"/>
                    </w:rPr>
                  </w:pPr>
                  <w:r>
                    <w:rPr>
                      <w:sz w:val="22"/>
                      <w:szCs w:val="22"/>
                      <w:highlight w:val="none"/>
                    </w:rPr>
                    <w:t>CI准确率</w:t>
                  </w:r>
                </w:p>
              </w:tc>
              <w:tc>
                <w:tcPr>
                  <w:tcW w:w="1842" w:type="dxa"/>
                  <w:noWrap w:val="0"/>
                  <w:vAlign w:val="center"/>
                </w:tcPr>
                <w:p>
                  <w:pPr>
                    <w:rPr>
                      <w:sz w:val="22"/>
                      <w:szCs w:val="22"/>
                      <w:highlight w:val="none"/>
                    </w:rPr>
                  </w:pPr>
                  <w:r>
                    <w:rPr>
                      <w:sz w:val="22"/>
                      <w:szCs w:val="22"/>
                      <w:highlight w:val="none"/>
                    </w:rPr>
                    <w:t>&gt;96%</w:t>
                  </w:r>
                </w:p>
              </w:tc>
              <w:tc>
                <w:tcPr>
                  <w:tcW w:w="2744" w:type="dxa"/>
                  <w:noWrap w:val="0"/>
                  <w:vAlign w:val="center"/>
                </w:tcPr>
                <w:p>
                  <w:pPr>
                    <w:rPr>
                      <w:sz w:val="22"/>
                      <w:szCs w:val="22"/>
                      <w:highlight w:val="none"/>
                    </w:rPr>
                  </w:pPr>
                  <w:r>
                    <w:rPr>
                      <w:sz w:val="22"/>
                      <w:szCs w:val="22"/>
                      <w:highlight w:val="none"/>
                    </w:rPr>
                    <w:t>（1-错误CI数/CI总数量）*100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Merge w:val="continue"/>
                  <w:noWrap w:val="0"/>
                  <w:vAlign w:val="center"/>
                </w:tcPr>
                <w:p>
                  <w:pPr>
                    <w:jc w:val="center"/>
                    <w:rPr>
                      <w:sz w:val="22"/>
                      <w:szCs w:val="22"/>
                      <w:highlight w:val="none"/>
                    </w:rPr>
                  </w:pPr>
                </w:p>
              </w:tc>
              <w:tc>
                <w:tcPr>
                  <w:tcW w:w="2977" w:type="dxa"/>
                  <w:noWrap w:val="0"/>
                  <w:vAlign w:val="center"/>
                </w:tcPr>
                <w:p>
                  <w:pPr>
                    <w:rPr>
                      <w:sz w:val="22"/>
                      <w:szCs w:val="22"/>
                      <w:highlight w:val="none"/>
                    </w:rPr>
                  </w:pPr>
                  <w:r>
                    <w:rPr>
                      <w:sz w:val="22"/>
                      <w:szCs w:val="22"/>
                      <w:highlight w:val="none"/>
                    </w:rPr>
                    <w:t>CI缺失率</w:t>
                  </w:r>
                </w:p>
              </w:tc>
              <w:tc>
                <w:tcPr>
                  <w:tcW w:w="1842" w:type="dxa"/>
                  <w:noWrap w:val="0"/>
                  <w:vAlign w:val="center"/>
                </w:tcPr>
                <w:p>
                  <w:pPr>
                    <w:rPr>
                      <w:sz w:val="22"/>
                      <w:szCs w:val="22"/>
                      <w:highlight w:val="none"/>
                    </w:rPr>
                  </w:pPr>
                  <w:r>
                    <w:rPr>
                      <w:sz w:val="22"/>
                      <w:szCs w:val="22"/>
                      <w:highlight w:val="none"/>
                    </w:rPr>
                    <w:t>&lt;10%</w:t>
                  </w:r>
                </w:p>
              </w:tc>
              <w:tc>
                <w:tcPr>
                  <w:tcW w:w="2744" w:type="dxa"/>
                  <w:noWrap w:val="0"/>
                  <w:vAlign w:val="center"/>
                </w:tcPr>
                <w:p>
                  <w:pPr>
                    <w:rPr>
                      <w:sz w:val="22"/>
                      <w:szCs w:val="22"/>
                      <w:highlight w:val="none"/>
                    </w:rPr>
                  </w:pPr>
                  <w:r>
                    <w:rPr>
                      <w:sz w:val="22"/>
                      <w:szCs w:val="22"/>
                      <w:highlight w:val="none"/>
                    </w:rPr>
                    <w:t>未记录系统的CI量/CI总数量*100%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Merge w:val="restart"/>
                  <w:noWrap w:val="0"/>
                  <w:vAlign w:val="center"/>
                </w:tcPr>
                <w:p>
                  <w:pPr>
                    <w:jc w:val="center"/>
                    <w:rPr>
                      <w:sz w:val="22"/>
                      <w:szCs w:val="22"/>
                      <w:highlight w:val="none"/>
                    </w:rPr>
                  </w:pPr>
                  <w:r>
                    <w:rPr>
                      <w:sz w:val="22"/>
                      <w:szCs w:val="22"/>
                      <w:highlight w:val="none"/>
                    </w:rPr>
                    <w:t>网络运维</w:t>
                  </w:r>
                </w:p>
              </w:tc>
              <w:tc>
                <w:tcPr>
                  <w:tcW w:w="2977" w:type="dxa"/>
                  <w:noWrap w:val="0"/>
                  <w:vAlign w:val="center"/>
                </w:tcPr>
                <w:p>
                  <w:pPr>
                    <w:rPr>
                      <w:sz w:val="22"/>
                      <w:szCs w:val="22"/>
                      <w:highlight w:val="none"/>
                    </w:rPr>
                  </w:pPr>
                  <w:r>
                    <w:rPr>
                      <w:sz w:val="22"/>
                      <w:szCs w:val="22"/>
                      <w:highlight w:val="none"/>
                    </w:rPr>
                    <w:t>可用性</w:t>
                  </w:r>
                </w:p>
              </w:tc>
              <w:tc>
                <w:tcPr>
                  <w:tcW w:w="1842" w:type="dxa"/>
                  <w:noWrap w:val="0"/>
                  <w:vAlign w:val="center"/>
                </w:tcPr>
                <w:p>
                  <w:pPr>
                    <w:rPr>
                      <w:sz w:val="22"/>
                      <w:szCs w:val="22"/>
                      <w:highlight w:val="none"/>
                    </w:rPr>
                  </w:pPr>
                  <w:r>
                    <w:rPr>
                      <w:sz w:val="22"/>
                      <w:szCs w:val="22"/>
                      <w:highlight w:val="none"/>
                    </w:rPr>
                    <w:t>&gt;90%</w:t>
                  </w:r>
                </w:p>
              </w:tc>
              <w:tc>
                <w:tcPr>
                  <w:tcW w:w="2744" w:type="dxa"/>
                  <w:noWrap w:val="0"/>
                  <w:vAlign w:val="center"/>
                </w:tcPr>
                <w:p>
                  <w:pPr>
                    <w:rPr>
                      <w:sz w:val="22"/>
                      <w:szCs w:val="22"/>
                      <w:highlight w:val="none"/>
                    </w:rPr>
                  </w:pPr>
                  <w:r>
                    <w:rPr>
                      <w:sz w:val="22"/>
                      <w:szCs w:val="22"/>
                      <w:highlight w:val="none"/>
                    </w:rPr>
                    <w:t>网络全年无故障分钟数/365*24*60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9" w:type="dxa"/>
                  <w:vMerge w:val="continue"/>
                  <w:noWrap w:val="0"/>
                  <w:vAlign w:val="top"/>
                </w:tcPr>
                <w:p>
                  <w:pPr>
                    <w:rPr>
                      <w:sz w:val="22"/>
                      <w:szCs w:val="22"/>
                      <w:highlight w:val="none"/>
                    </w:rPr>
                  </w:pPr>
                </w:p>
              </w:tc>
              <w:tc>
                <w:tcPr>
                  <w:tcW w:w="2977" w:type="dxa"/>
                  <w:noWrap w:val="0"/>
                  <w:vAlign w:val="center"/>
                </w:tcPr>
                <w:p>
                  <w:pPr>
                    <w:rPr>
                      <w:sz w:val="22"/>
                      <w:szCs w:val="22"/>
                      <w:highlight w:val="none"/>
                    </w:rPr>
                  </w:pPr>
                  <w:r>
                    <w:rPr>
                      <w:sz w:val="22"/>
                      <w:szCs w:val="22"/>
                      <w:highlight w:val="none"/>
                    </w:rPr>
                    <w:t>紧急事件次数</w:t>
                  </w:r>
                </w:p>
              </w:tc>
              <w:tc>
                <w:tcPr>
                  <w:tcW w:w="1842" w:type="dxa"/>
                  <w:noWrap w:val="0"/>
                  <w:vAlign w:val="center"/>
                </w:tcPr>
                <w:p>
                  <w:pPr>
                    <w:rPr>
                      <w:sz w:val="22"/>
                      <w:szCs w:val="22"/>
                      <w:highlight w:val="none"/>
                    </w:rPr>
                  </w:pPr>
                  <w:r>
                    <w:rPr>
                      <w:rFonts w:hint="eastAsia"/>
                      <w:sz w:val="22"/>
                      <w:szCs w:val="22"/>
                      <w:highlight w:val="none"/>
                    </w:rPr>
                    <w:t>〈3次/季度</w:t>
                  </w:r>
                </w:p>
              </w:tc>
              <w:tc>
                <w:tcPr>
                  <w:tcW w:w="2744" w:type="dxa"/>
                  <w:noWrap w:val="0"/>
                  <w:vAlign w:val="center"/>
                </w:tcPr>
                <w:p>
                  <w:pPr>
                    <w:rPr>
                      <w:sz w:val="22"/>
                      <w:szCs w:val="22"/>
                      <w:highlight w:val="none"/>
                    </w:rPr>
                  </w:pPr>
                  <w:r>
                    <w:rPr>
                      <w:sz w:val="22"/>
                      <w:szCs w:val="22"/>
                      <w:highlight w:val="none"/>
                    </w:rPr>
                    <w:t>紧急事件累计发生次数</w:t>
                  </w:r>
                </w:p>
              </w:tc>
            </w:tr>
          </w:tbl>
          <w:p>
            <w:pPr>
              <w:ind w:firstLine="440" w:firstLineChars="200"/>
              <w:rPr>
                <w:sz w:val="22"/>
                <w:szCs w:val="22"/>
                <w:highlight w:val="none"/>
              </w:rPr>
            </w:pPr>
          </w:p>
          <w:p>
            <w:pPr>
              <w:pStyle w:val="4"/>
              <w:rPr>
                <w:sz w:val="22"/>
                <w:szCs w:val="22"/>
                <w:highlight w:val="none"/>
              </w:rPr>
            </w:pPr>
            <w:r>
              <w:rPr>
                <w:sz w:val="22"/>
                <w:szCs w:val="22"/>
                <w:highlight w:val="none"/>
              </w:rPr>
              <w:t>（三）运维考核机制</w:t>
            </w:r>
          </w:p>
          <w:p>
            <w:pPr>
              <w:pStyle w:val="5"/>
              <w:rPr>
                <w:sz w:val="22"/>
                <w:szCs w:val="22"/>
                <w:highlight w:val="none"/>
              </w:rPr>
            </w:pPr>
            <w:r>
              <w:rPr>
                <w:sz w:val="22"/>
                <w:szCs w:val="22"/>
                <w:highlight w:val="none"/>
              </w:rPr>
              <w:t>1．考核方法</w:t>
            </w:r>
          </w:p>
          <w:p>
            <w:pPr>
              <w:spacing w:line="360" w:lineRule="exact"/>
              <w:ind w:firstLine="440" w:firstLineChars="200"/>
              <w:rPr>
                <w:sz w:val="22"/>
                <w:szCs w:val="22"/>
                <w:highlight w:val="none"/>
              </w:rPr>
            </w:pPr>
            <w:r>
              <w:rPr>
                <w:sz w:val="22"/>
                <w:szCs w:val="22"/>
                <w:highlight w:val="none"/>
              </w:rPr>
              <w:t>温州职业技术学院每月28日前提交对服务提供商的考核评分，由评分人员签字并加盖部门印章，评分范围仅限于月度考核期间发生的维护项目，时间为上月26日至本月25日。得分按照扣分计算，无关指标不扣分（比如对不影响业务的故障，业务恢复时限按满分计算），并对扣分项进行详细说明。</w:t>
            </w:r>
          </w:p>
          <w:p>
            <w:pPr>
              <w:pStyle w:val="5"/>
              <w:rPr>
                <w:sz w:val="22"/>
                <w:szCs w:val="22"/>
                <w:highlight w:val="none"/>
              </w:rPr>
            </w:pPr>
            <w:r>
              <w:rPr>
                <w:sz w:val="22"/>
                <w:szCs w:val="22"/>
                <w:highlight w:val="none"/>
              </w:rPr>
              <w:t>2．考核评分</w:t>
            </w:r>
          </w:p>
          <w:p>
            <w:pPr>
              <w:spacing w:line="360" w:lineRule="exact"/>
              <w:ind w:firstLine="442" w:firstLineChars="200"/>
              <w:rPr>
                <w:b/>
                <w:sz w:val="22"/>
                <w:szCs w:val="22"/>
                <w:highlight w:val="none"/>
              </w:rPr>
            </w:pPr>
            <w:r>
              <w:rPr>
                <w:b/>
                <w:sz w:val="22"/>
                <w:szCs w:val="22"/>
                <w:highlight w:val="none"/>
              </w:rPr>
              <w:t>1</w:t>
            </w:r>
            <w:r>
              <w:rPr>
                <w:rFonts w:hint="eastAsia"/>
                <w:b/>
                <w:sz w:val="22"/>
                <w:szCs w:val="22"/>
                <w:highlight w:val="none"/>
              </w:rPr>
              <w:t>）</w:t>
            </w:r>
            <w:r>
              <w:rPr>
                <w:b/>
                <w:sz w:val="22"/>
                <w:szCs w:val="22"/>
                <w:highlight w:val="none"/>
              </w:rPr>
              <w:t>网络状态得分A(权重40%)</w:t>
            </w:r>
          </w:p>
          <w:p>
            <w:pPr>
              <w:spacing w:line="360" w:lineRule="exact"/>
              <w:ind w:firstLine="440" w:firstLineChars="200"/>
              <w:rPr>
                <w:sz w:val="22"/>
                <w:szCs w:val="22"/>
                <w:highlight w:val="none"/>
              </w:rPr>
            </w:pPr>
            <w:r>
              <w:rPr>
                <w:sz w:val="22"/>
                <w:szCs w:val="22"/>
                <w:highlight w:val="none"/>
              </w:rPr>
              <w:t>每月对不同场景无线网络KPI指标可用性指标进行抽查，当出现指标不达标时，每次扣2分，100分扣完为止(同一事件不重复扣分)：</w:t>
            </w:r>
          </w:p>
          <w:p>
            <w:pPr>
              <w:spacing w:line="360" w:lineRule="exact"/>
              <w:ind w:firstLine="440" w:firstLineChars="200"/>
              <w:rPr>
                <w:sz w:val="22"/>
                <w:szCs w:val="22"/>
                <w:highlight w:val="none"/>
              </w:rPr>
            </w:pPr>
            <w:r>
              <w:rPr>
                <w:sz w:val="22"/>
                <w:szCs w:val="22"/>
                <w:highlight w:val="none"/>
              </w:rPr>
              <w:t>A=［100-2*次数］*40%</w:t>
            </w:r>
          </w:p>
          <w:p>
            <w:pPr>
              <w:spacing w:line="360" w:lineRule="exact"/>
              <w:ind w:firstLine="442" w:firstLineChars="200"/>
              <w:rPr>
                <w:b/>
                <w:sz w:val="22"/>
                <w:szCs w:val="22"/>
                <w:highlight w:val="none"/>
              </w:rPr>
            </w:pPr>
            <w:r>
              <w:rPr>
                <w:b/>
                <w:sz w:val="22"/>
                <w:szCs w:val="22"/>
                <w:highlight w:val="none"/>
              </w:rPr>
              <w:t>2</w:t>
            </w:r>
            <w:r>
              <w:rPr>
                <w:rFonts w:hint="eastAsia"/>
                <w:b/>
                <w:sz w:val="22"/>
                <w:szCs w:val="22"/>
                <w:highlight w:val="none"/>
              </w:rPr>
              <w:t>）</w:t>
            </w:r>
            <w:r>
              <w:rPr>
                <w:b/>
                <w:sz w:val="22"/>
                <w:szCs w:val="22"/>
                <w:highlight w:val="none"/>
              </w:rPr>
              <w:t>网络服务工单统计得分B（权重30%）</w:t>
            </w:r>
          </w:p>
          <w:p>
            <w:pPr>
              <w:spacing w:line="360" w:lineRule="exact"/>
              <w:ind w:firstLine="440" w:firstLineChars="200"/>
              <w:rPr>
                <w:sz w:val="22"/>
                <w:szCs w:val="22"/>
                <w:highlight w:val="none"/>
              </w:rPr>
            </w:pPr>
            <w:r>
              <w:rPr>
                <w:sz w:val="22"/>
                <w:szCs w:val="22"/>
                <w:highlight w:val="none"/>
              </w:rPr>
              <w:t>以一个考核周期内校园网用户在上门服务单上反馈的服务评价结果(非常满意，满意，一般，不满意)为依据，发现不满意每次扣2分，100分扣完为止(同一事件不重复扣分)：</w:t>
            </w:r>
          </w:p>
          <w:p>
            <w:pPr>
              <w:spacing w:line="360" w:lineRule="exact"/>
              <w:ind w:firstLine="440" w:firstLineChars="200"/>
              <w:rPr>
                <w:sz w:val="22"/>
                <w:szCs w:val="22"/>
                <w:highlight w:val="none"/>
              </w:rPr>
            </w:pPr>
            <w:r>
              <w:rPr>
                <w:sz w:val="22"/>
                <w:szCs w:val="22"/>
                <w:highlight w:val="none"/>
              </w:rPr>
              <w:t>B=［100-2*次数］*30%</w:t>
            </w:r>
          </w:p>
          <w:p>
            <w:pPr>
              <w:spacing w:line="360" w:lineRule="exact"/>
              <w:ind w:firstLine="440" w:firstLineChars="200"/>
              <w:rPr>
                <w:sz w:val="22"/>
                <w:szCs w:val="22"/>
                <w:highlight w:val="none"/>
              </w:rPr>
            </w:pPr>
            <w:r>
              <w:rPr>
                <w:sz w:val="22"/>
                <w:szCs w:val="22"/>
                <w:highlight w:val="none"/>
              </w:rPr>
              <w:t>若一个考核周期内无故障或电话沟通用户自行解决了故障，因而不必上门服务，事实上没有发生过上门服务事件，本考核周期内没有上门服务单，则：B=30分。</w:t>
            </w:r>
          </w:p>
          <w:p>
            <w:pPr>
              <w:spacing w:line="360" w:lineRule="exact"/>
              <w:ind w:firstLine="442" w:firstLineChars="200"/>
              <w:rPr>
                <w:b/>
                <w:sz w:val="22"/>
                <w:szCs w:val="22"/>
                <w:highlight w:val="none"/>
              </w:rPr>
            </w:pPr>
            <w:r>
              <w:rPr>
                <w:b/>
                <w:sz w:val="22"/>
                <w:szCs w:val="22"/>
                <w:highlight w:val="none"/>
              </w:rPr>
              <w:t>3</w:t>
            </w:r>
            <w:r>
              <w:rPr>
                <w:rFonts w:hint="eastAsia"/>
                <w:b/>
                <w:sz w:val="22"/>
                <w:szCs w:val="22"/>
                <w:highlight w:val="none"/>
              </w:rPr>
              <w:t>）</w:t>
            </w:r>
            <w:r>
              <w:rPr>
                <w:b/>
                <w:sz w:val="22"/>
                <w:szCs w:val="22"/>
                <w:highlight w:val="none"/>
              </w:rPr>
              <w:t>日常考核得分C(30%)：</w:t>
            </w:r>
          </w:p>
          <w:p>
            <w:pPr>
              <w:spacing w:line="360" w:lineRule="exact"/>
              <w:ind w:firstLine="440" w:firstLineChars="200"/>
              <w:rPr>
                <w:sz w:val="22"/>
                <w:szCs w:val="22"/>
                <w:highlight w:val="none"/>
              </w:rPr>
            </w:pPr>
            <w:r>
              <w:rPr>
                <w:sz w:val="22"/>
                <w:szCs w:val="22"/>
                <w:highlight w:val="none"/>
              </w:rPr>
              <w:t>日常考核以无线网络运维服务基本指标要求进行随机抽查考核。当出现表2中指标不达标时，每次扣2分，100分扣完为止(同一事件不重复扣分)：</w:t>
            </w:r>
          </w:p>
          <w:p>
            <w:pPr>
              <w:spacing w:line="360" w:lineRule="exact"/>
              <w:ind w:firstLine="440" w:firstLineChars="200"/>
              <w:rPr>
                <w:sz w:val="22"/>
                <w:szCs w:val="22"/>
                <w:highlight w:val="none"/>
              </w:rPr>
            </w:pPr>
            <w:r>
              <w:rPr>
                <w:sz w:val="22"/>
                <w:szCs w:val="22"/>
                <w:highlight w:val="none"/>
              </w:rPr>
              <w:t>C=[100-2*次数]*30%</w:t>
            </w:r>
          </w:p>
          <w:p>
            <w:pPr>
              <w:spacing w:line="360" w:lineRule="exact"/>
              <w:ind w:firstLine="442" w:firstLineChars="200"/>
              <w:rPr>
                <w:b/>
                <w:sz w:val="22"/>
                <w:szCs w:val="22"/>
                <w:highlight w:val="none"/>
              </w:rPr>
            </w:pPr>
            <w:r>
              <w:rPr>
                <w:b/>
                <w:sz w:val="22"/>
                <w:szCs w:val="22"/>
                <w:highlight w:val="none"/>
              </w:rPr>
              <w:t>4</w:t>
            </w:r>
            <w:r>
              <w:rPr>
                <w:rFonts w:hint="eastAsia"/>
                <w:b/>
                <w:sz w:val="22"/>
                <w:szCs w:val="22"/>
                <w:highlight w:val="none"/>
              </w:rPr>
              <w:t>）</w:t>
            </w:r>
            <w:r>
              <w:rPr>
                <w:b/>
                <w:sz w:val="22"/>
                <w:szCs w:val="22"/>
                <w:highlight w:val="none"/>
              </w:rPr>
              <w:t>得分X（100分）</w:t>
            </w:r>
          </w:p>
          <w:p>
            <w:pPr>
              <w:spacing w:line="360" w:lineRule="exact"/>
              <w:ind w:firstLine="550" w:firstLineChars="250"/>
              <w:rPr>
                <w:sz w:val="22"/>
                <w:szCs w:val="22"/>
                <w:highlight w:val="none"/>
              </w:rPr>
            </w:pPr>
            <w:r>
              <w:rPr>
                <w:sz w:val="22"/>
                <w:szCs w:val="22"/>
                <w:highlight w:val="none"/>
              </w:rPr>
              <w:t>X=A+B+C</w:t>
            </w:r>
          </w:p>
          <w:p>
            <w:pPr>
              <w:pStyle w:val="5"/>
              <w:rPr>
                <w:sz w:val="22"/>
                <w:szCs w:val="22"/>
                <w:highlight w:val="none"/>
              </w:rPr>
            </w:pPr>
            <w:r>
              <w:rPr>
                <w:sz w:val="22"/>
                <w:szCs w:val="22"/>
                <w:highlight w:val="none"/>
              </w:rPr>
              <w:t>3．考核结果</w:t>
            </w:r>
          </w:p>
          <w:p>
            <w:pPr>
              <w:spacing w:line="360" w:lineRule="exact"/>
              <w:ind w:firstLine="440" w:firstLineChars="200"/>
              <w:rPr>
                <w:sz w:val="22"/>
                <w:szCs w:val="22"/>
                <w:highlight w:val="none"/>
              </w:rPr>
            </w:pPr>
            <w:r>
              <w:rPr>
                <w:sz w:val="22"/>
                <w:szCs w:val="22"/>
                <w:highlight w:val="none"/>
              </w:rPr>
              <w:t>根据考核结果，按月计算运维费用，计算方法如下：</w:t>
            </w:r>
          </w:p>
          <w:p>
            <w:pPr>
              <w:spacing w:line="360" w:lineRule="exact"/>
              <w:ind w:firstLine="440" w:firstLineChars="200"/>
              <w:rPr>
                <w:sz w:val="22"/>
                <w:szCs w:val="22"/>
                <w:highlight w:val="none"/>
              </w:rPr>
            </w:pPr>
          </w:p>
          <w:tbl>
            <w:tblPr>
              <w:tblStyle w:val="6"/>
              <w:tblW w:w="5670" w:type="dxa"/>
              <w:tblInd w:w="1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2835"/>
              <w:gridCol w:w="21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708" w:type="dxa"/>
                  <w:noWrap w:val="0"/>
                  <w:vAlign w:val="top"/>
                </w:tcPr>
                <w:p>
                  <w:pPr>
                    <w:rPr>
                      <w:sz w:val="22"/>
                      <w:szCs w:val="22"/>
                      <w:highlight w:val="none"/>
                    </w:rPr>
                  </w:pPr>
                  <w:r>
                    <w:rPr>
                      <w:rFonts w:hint="eastAsia"/>
                      <w:sz w:val="22"/>
                      <w:szCs w:val="22"/>
                      <w:highlight w:val="none"/>
                    </w:rPr>
                    <w:t>序号</w:t>
                  </w:r>
                </w:p>
              </w:tc>
              <w:tc>
                <w:tcPr>
                  <w:tcW w:w="2835" w:type="dxa"/>
                  <w:noWrap w:val="0"/>
                  <w:vAlign w:val="top"/>
                </w:tcPr>
                <w:p>
                  <w:pPr>
                    <w:rPr>
                      <w:sz w:val="22"/>
                      <w:szCs w:val="22"/>
                      <w:highlight w:val="none"/>
                    </w:rPr>
                  </w:pPr>
                  <w:r>
                    <w:rPr>
                      <w:sz w:val="22"/>
                      <w:szCs w:val="22"/>
                      <w:highlight w:val="none"/>
                    </w:rPr>
                    <w:t>月平均考核得分</w:t>
                  </w:r>
                </w:p>
              </w:tc>
              <w:tc>
                <w:tcPr>
                  <w:tcW w:w="2127" w:type="dxa"/>
                  <w:noWrap w:val="0"/>
                  <w:vAlign w:val="top"/>
                </w:tcPr>
                <w:p>
                  <w:pPr>
                    <w:rPr>
                      <w:sz w:val="22"/>
                      <w:szCs w:val="22"/>
                      <w:highlight w:val="none"/>
                    </w:rPr>
                  </w:pPr>
                  <w:r>
                    <w:rPr>
                      <w:sz w:val="22"/>
                      <w:szCs w:val="22"/>
                      <w:highlight w:val="none"/>
                    </w:rPr>
                    <w:t>月服务费支付比例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8" w:type="dxa"/>
                  <w:noWrap w:val="0"/>
                  <w:vAlign w:val="top"/>
                </w:tcPr>
                <w:p>
                  <w:pPr>
                    <w:rPr>
                      <w:sz w:val="22"/>
                      <w:szCs w:val="22"/>
                      <w:highlight w:val="none"/>
                    </w:rPr>
                  </w:pPr>
                  <w:r>
                    <w:rPr>
                      <w:rFonts w:hint="eastAsia"/>
                      <w:sz w:val="22"/>
                      <w:szCs w:val="22"/>
                      <w:highlight w:val="none"/>
                    </w:rPr>
                    <w:t>1</w:t>
                  </w:r>
                </w:p>
              </w:tc>
              <w:tc>
                <w:tcPr>
                  <w:tcW w:w="2835" w:type="dxa"/>
                  <w:noWrap w:val="0"/>
                  <w:vAlign w:val="top"/>
                </w:tcPr>
                <w:p>
                  <w:pPr>
                    <w:rPr>
                      <w:sz w:val="22"/>
                      <w:szCs w:val="22"/>
                      <w:highlight w:val="none"/>
                    </w:rPr>
                  </w:pPr>
                  <w:r>
                    <w:rPr>
                      <w:sz w:val="22"/>
                      <w:szCs w:val="22"/>
                      <w:highlight w:val="none"/>
                    </w:rPr>
                    <w:t>得分＜45</w:t>
                  </w:r>
                </w:p>
              </w:tc>
              <w:tc>
                <w:tcPr>
                  <w:tcW w:w="2127" w:type="dxa"/>
                  <w:noWrap w:val="0"/>
                  <w:vAlign w:val="top"/>
                </w:tcPr>
                <w:p>
                  <w:pPr>
                    <w:rPr>
                      <w:sz w:val="22"/>
                      <w:szCs w:val="22"/>
                      <w:highlight w:val="none"/>
                    </w:rPr>
                  </w:pPr>
                  <w:r>
                    <w:rPr>
                      <w:rFonts w:hint="eastAsia"/>
                      <w:sz w:val="22"/>
                      <w:szCs w:val="22"/>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8" w:type="dxa"/>
                  <w:noWrap w:val="0"/>
                  <w:vAlign w:val="top"/>
                </w:tcPr>
                <w:p>
                  <w:pPr>
                    <w:rPr>
                      <w:sz w:val="22"/>
                      <w:szCs w:val="22"/>
                      <w:highlight w:val="none"/>
                    </w:rPr>
                  </w:pPr>
                  <w:r>
                    <w:rPr>
                      <w:rFonts w:hint="eastAsia"/>
                      <w:sz w:val="22"/>
                      <w:szCs w:val="22"/>
                      <w:highlight w:val="none"/>
                    </w:rPr>
                    <w:t>2</w:t>
                  </w:r>
                </w:p>
              </w:tc>
              <w:tc>
                <w:tcPr>
                  <w:tcW w:w="2835" w:type="dxa"/>
                  <w:noWrap w:val="0"/>
                  <w:vAlign w:val="top"/>
                </w:tcPr>
                <w:p>
                  <w:pPr>
                    <w:rPr>
                      <w:sz w:val="22"/>
                      <w:szCs w:val="22"/>
                      <w:highlight w:val="none"/>
                    </w:rPr>
                  </w:pPr>
                  <w:r>
                    <w:rPr>
                      <w:rFonts w:hint="eastAsia"/>
                      <w:sz w:val="22"/>
                      <w:szCs w:val="22"/>
                      <w:highlight w:val="none"/>
                    </w:rPr>
                    <w:t>45</w:t>
                  </w:r>
                  <w:r>
                    <w:rPr>
                      <w:sz w:val="22"/>
                      <w:szCs w:val="22"/>
                      <w:highlight w:val="none"/>
                    </w:rPr>
                    <w:t>＜得分＜60</w:t>
                  </w:r>
                </w:p>
              </w:tc>
              <w:tc>
                <w:tcPr>
                  <w:tcW w:w="2127" w:type="dxa"/>
                  <w:noWrap w:val="0"/>
                  <w:vAlign w:val="top"/>
                </w:tcPr>
                <w:p>
                  <w:pPr>
                    <w:rPr>
                      <w:sz w:val="22"/>
                      <w:szCs w:val="22"/>
                      <w:highlight w:val="none"/>
                    </w:rPr>
                  </w:pPr>
                  <w:r>
                    <w:rPr>
                      <w:rFonts w:hint="eastAsia"/>
                      <w:sz w:val="22"/>
                      <w:szCs w:val="22"/>
                      <w:highlight w:val="none"/>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8" w:type="dxa"/>
                  <w:noWrap w:val="0"/>
                  <w:vAlign w:val="top"/>
                </w:tcPr>
                <w:p>
                  <w:pPr>
                    <w:rPr>
                      <w:sz w:val="22"/>
                      <w:szCs w:val="22"/>
                      <w:highlight w:val="none"/>
                    </w:rPr>
                  </w:pPr>
                  <w:r>
                    <w:rPr>
                      <w:rFonts w:hint="eastAsia"/>
                      <w:sz w:val="22"/>
                      <w:szCs w:val="22"/>
                      <w:highlight w:val="none"/>
                    </w:rPr>
                    <w:t>3</w:t>
                  </w:r>
                </w:p>
              </w:tc>
              <w:tc>
                <w:tcPr>
                  <w:tcW w:w="2835" w:type="dxa"/>
                  <w:noWrap w:val="0"/>
                  <w:vAlign w:val="top"/>
                </w:tcPr>
                <w:p>
                  <w:pPr>
                    <w:rPr>
                      <w:sz w:val="22"/>
                      <w:szCs w:val="22"/>
                      <w:highlight w:val="none"/>
                    </w:rPr>
                  </w:pPr>
                  <w:r>
                    <w:rPr>
                      <w:sz w:val="22"/>
                      <w:szCs w:val="22"/>
                      <w:highlight w:val="none"/>
                    </w:rPr>
                    <w:t>60≤得分＜70</w:t>
                  </w:r>
                </w:p>
              </w:tc>
              <w:tc>
                <w:tcPr>
                  <w:tcW w:w="2127" w:type="dxa"/>
                  <w:noWrap w:val="0"/>
                  <w:vAlign w:val="top"/>
                </w:tcPr>
                <w:p>
                  <w:pPr>
                    <w:rPr>
                      <w:sz w:val="22"/>
                      <w:szCs w:val="22"/>
                      <w:highlight w:val="none"/>
                    </w:rPr>
                  </w:pPr>
                  <w:r>
                    <w:rPr>
                      <w:rFonts w:hint="eastAsia"/>
                      <w:sz w:val="22"/>
                      <w:szCs w:val="22"/>
                      <w:highlight w:val="none"/>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8" w:type="dxa"/>
                  <w:noWrap w:val="0"/>
                  <w:vAlign w:val="top"/>
                </w:tcPr>
                <w:p>
                  <w:pPr>
                    <w:rPr>
                      <w:sz w:val="22"/>
                      <w:szCs w:val="22"/>
                      <w:highlight w:val="none"/>
                    </w:rPr>
                  </w:pPr>
                  <w:r>
                    <w:rPr>
                      <w:rFonts w:hint="eastAsia"/>
                      <w:sz w:val="22"/>
                      <w:szCs w:val="22"/>
                      <w:highlight w:val="none"/>
                    </w:rPr>
                    <w:t>4</w:t>
                  </w:r>
                </w:p>
              </w:tc>
              <w:tc>
                <w:tcPr>
                  <w:tcW w:w="2835" w:type="dxa"/>
                  <w:noWrap w:val="0"/>
                  <w:vAlign w:val="top"/>
                </w:tcPr>
                <w:p>
                  <w:pPr>
                    <w:rPr>
                      <w:sz w:val="22"/>
                      <w:szCs w:val="22"/>
                      <w:highlight w:val="none"/>
                    </w:rPr>
                  </w:pPr>
                  <w:r>
                    <w:rPr>
                      <w:rFonts w:hint="eastAsia"/>
                      <w:sz w:val="22"/>
                      <w:szCs w:val="22"/>
                      <w:highlight w:val="none"/>
                    </w:rPr>
                    <w:t>70</w:t>
                  </w:r>
                  <w:r>
                    <w:rPr>
                      <w:sz w:val="22"/>
                      <w:szCs w:val="22"/>
                      <w:highlight w:val="none"/>
                    </w:rPr>
                    <w:t>≤得分＜</w:t>
                  </w:r>
                  <w:r>
                    <w:rPr>
                      <w:rFonts w:hint="eastAsia"/>
                      <w:sz w:val="22"/>
                      <w:szCs w:val="22"/>
                      <w:highlight w:val="none"/>
                    </w:rPr>
                    <w:t>8</w:t>
                  </w:r>
                  <w:r>
                    <w:rPr>
                      <w:sz w:val="22"/>
                      <w:szCs w:val="22"/>
                      <w:highlight w:val="none"/>
                    </w:rPr>
                    <w:t>0</w:t>
                  </w:r>
                </w:p>
              </w:tc>
              <w:tc>
                <w:tcPr>
                  <w:tcW w:w="2127" w:type="dxa"/>
                  <w:noWrap w:val="0"/>
                  <w:vAlign w:val="top"/>
                </w:tcPr>
                <w:p>
                  <w:pPr>
                    <w:rPr>
                      <w:sz w:val="22"/>
                      <w:szCs w:val="22"/>
                      <w:highlight w:val="none"/>
                    </w:rPr>
                  </w:pPr>
                  <w:r>
                    <w:rPr>
                      <w:rFonts w:hint="eastAsia"/>
                      <w:sz w:val="22"/>
                      <w:szCs w:val="22"/>
                      <w:highlight w:val="none"/>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8" w:type="dxa"/>
                  <w:noWrap w:val="0"/>
                  <w:vAlign w:val="top"/>
                </w:tcPr>
                <w:p>
                  <w:pPr>
                    <w:rPr>
                      <w:sz w:val="22"/>
                      <w:szCs w:val="22"/>
                      <w:highlight w:val="none"/>
                    </w:rPr>
                  </w:pPr>
                  <w:r>
                    <w:rPr>
                      <w:rFonts w:hint="eastAsia"/>
                      <w:sz w:val="22"/>
                      <w:szCs w:val="22"/>
                      <w:highlight w:val="none"/>
                    </w:rPr>
                    <w:t>5</w:t>
                  </w:r>
                </w:p>
              </w:tc>
              <w:tc>
                <w:tcPr>
                  <w:tcW w:w="2835" w:type="dxa"/>
                  <w:noWrap w:val="0"/>
                  <w:vAlign w:val="top"/>
                </w:tcPr>
                <w:p>
                  <w:pPr>
                    <w:rPr>
                      <w:sz w:val="22"/>
                      <w:szCs w:val="22"/>
                      <w:highlight w:val="none"/>
                    </w:rPr>
                  </w:pPr>
                  <w:r>
                    <w:rPr>
                      <w:rFonts w:hint="eastAsia"/>
                      <w:sz w:val="22"/>
                      <w:szCs w:val="22"/>
                      <w:highlight w:val="none"/>
                    </w:rPr>
                    <w:t>80</w:t>
                  </w:r>
                  <w:r>
                    <w:rPr>
                      <w:sz w:val="22"/>
                      <w:szCs w:val="22"/>
                      <w:highlight w:val="none"/>
                    </w:rPr>
                    <w:t>≤得分＜</w:t>
                  </w:r>
                  <w:r>
                    <w:rPr>
                      <w:rFonts w:hint="eastAsia"/>
                      <w:sz w:val="22"/>
                      <w:szCs w:val="22"/>
                      <w:highlight w:val="none"/>
                    </w:rPr>
                    <w:t>9</w:t>
                  </w:r>
                  <w:r>
                    <w:rPr>
                      <w:sz w:val="22"/>
                      <w:szCs w:val="22"/>
                      <w:highlight w:val="none"/>
                    </w:rPr>
                    <w:t>0</w:t>
                  </w:r>
                </w:p>
              </w:tc>
              <w:tc>
                <w:tcPr>
                  <w:tcW w:w="2127" w:type="dxa"/>
                  <w:noWrap w:val="0"/>
                  <w:vAlign w:val="top"/>
                </w:tcPr>
                <w:p>
                  <w:pPr>
                    <w:rPr>
                      <w:sz w:val="22"/>
                      <w:szCs w:val="22"/>
                      <w:highlight w:val="none"/>
                    </w:rPr>
                  </w:pPr>
                  <w:r>
                    <w:rPr>
                      <w:rFonts w:hint="eastAsia"/>
                      <w:sz w:val="22"/>
                      <w:szCs w:val="22"/>
                      <w:highlight w:val="none"/>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08" w:type="dxa"/>
                  <w:noWrap w:val="0"/>
                  <w:vAlign w:val="top"/>
                </w:tcPr>
                <w:p>
                  <w:pPr>
                    <w:rPr>
                      <w:sz w:val="22"/>
                      <w:szCs w:val="22"/>
                      <w:highlight w:val="none"/>
                    </w:rPr>
                  </w:pPr>
                  <w:r>
                    <w:rPr>
                      <w:rFonts w:hint="eastAsia"/>
                      <w:sz w:val="22"/>
                      <w:szCs w:val="22"/>
                      <w:highlight w:val="none"/>
                    </w:rPr>
                    <w:t>6</w:t>
                  </w:r>
                </w:p>
              </w:tc>
              <w:tc>
                <w:tcPr>
                  <w:tcW w:w="2835" w:type="dxa"/>
                  <w:noWrap w:val="0"/>
                  <w:vAlign w:val="top"/>
                </w:tcPr>
                <w:p>
                  <w:pPr>
                    <w:rPr>
                      <w:sz w:val="22"/>
                      <w:szCs w:val="22"/>
                      <w:highlight w:val="none"/>
                    </w:rPr>
                  </w:pPr>
                  <w:r>
                    <w:rPr>
                      <w:sz w:val="22"/>
                      <w:szCs w:val="22"/>
                      <w:highlight w:val="none"/>
                    </w:rPr>
                    <w:t>得分≥90</w:t>
                  </w:r>
                </w:p>
              </w:tc>
              <w:tc>
                <w:tcPr>
                  <w:tcW w:w="2127" w:type="dxa"/>
                  <w:noWrap w:val="0"/>
                  <w:vAlign w:val="top"/>
                </w:tcPr>
                <w:p>
                  <w:pPr>
                    <w:rPr>
                      <w:sz w:val="22"/>
                      <w:szCs w:val="22"/>
                      <w:highlight w:val="none"/>
                    </w:rPr>
                  </w:pPr>
                  <w:r>
                    <w:rPr>
                      <w:rFonts w:hint="eastAsia"/>
                      <w:sz w:val="22"/>
                      <w:szCs w:val="22"/>
                      <w:highlight w:val="none"/>
                    </w:rPr>
                    <w:t>100%</w:t>
                  </w:r>
                </w:p>
              </w:tc>
            </w:tr>
          </w:tbl>
          <w:p>
            <w:pPr>
              <w:rPr>
                <w:sz w:val="22"/>
                <w:szCs w:val="22"/>
                <w:highlight w:val="none"/>
              </w:rPr>
            </w:pPr>
          </w:p>
          <w:p>
            <w:pPr>
              <w:spacing w:line="360" w:lineRule="exact"/>
              <w:ind w:firstLine="440" w:firstLineChars="200"/>
              <w:rPr>
                <w:sz w:val="22"/>
                <w:szCs w:val="22"/>
                <w:highlight w:val="none"/>
                <w:u w:val="single"/>
              </w:rPr>
            </w:pPr>
            <w:r>
              <w:rPr>
                <w:sz w:val="22"/>
                <w:szCs w:val="22"/>
                <w:highlight w:val="none"/>
                <w:u w:val="single"/>
              </w:rPr>
              <w:t>▲考评得分（X）低于70分时，发出整改通知书，提出限时整改要求。如连续三个月考评分低于70分，</w:t>
            </w:r>
            <w:r>
              <w:rPr>
                <w:rFonts w:hint="eastAsia"/>
                <w:sz w:val="22"/>
                <w:szCs w:val="22"/>
                <w:highlight w:val="none"/>
                <w:u w:val="single"/>
              </w:rPr>
              <w:t>采购人</w:t>
            </w:r>
            <w:r>
              <w:rPr>
                <w:sz w:val="22"/>
                <w:szCs w:val="22"/>
                <w:highlight w:val="none"/>
                <w:u w:val="single"/>
              </w:rPr>
              <w:t>有权要求更换运维公司。</w:t>
            </w:r>
          </w:p>
          <w:p>
            <w:pPr>
              <w:pStyle w:val="3"/>
              <w:rPr>
                <w:sz w:val="22"/>
                <w:szCs w:val="22"/>
                <w:highlight w:val="none"/>
              </w:rPr>
            </w:pPr>
            <w:r>
              <w:rPr>
                <w:sz w:val="22"/>
                <w:szCs w:val="22"/>
                <w:highlight w:val="none"/>
              </w:rPr>
              <w:t>五、违约责任</w:t>
            </w:r>
          </w:p>
          <w:p>
            <w:pPr>
              <w:spacing w:line="360" w:lineRule="exact"/>
              <w:ind w:firstLine="440" w:firstLineChars="200"/>
              <w:rPr>
                <w:sz w:val="22"/>
                <w:szCs w:val="22"/>
                <w:highlight w:val="none"/>
              </w:rPr>
            </w:pPr>
            <w:r>
              <w:rPr>
                <w:sz w:val="22"/>
                <w:szCs w:val="22"/>
                <w:highlight w:val="none"/>
              </w:rPr>
              <w:t>1．</w:t>
            </w:r>
            <w:r>
              <w:rPr>
                <w:rFonts w:hint="eastAsia"/>
                <w:sz w:val="22"/>
                <w:szCs w:val="22"/>
                <w:highlight w:val="none"/>
              </w:rPr>
              <w:t>若</w:t>
            </w:r>
            <w:r>
              <w:rPr>
                <w:sz w:val="22"/>
                <w:szCs w:val="22"/>
                <w:highlight w:val="none"/>
              </w:rPr>
              <w:t>成交供应商</w:t>
            </w:r>
            <w:r>
              <w:rPr>
                <w:rFonts w:hint="eastAsia"/>
                <w:sz w:val="22"/>
                <w:szCs w:val="22"/>
                <w:highlight w:val="none"/>
              </w:rPr>
              <w:t>在网络建成并投入使用后，其建设运维服务未能达到约定的管理目标、或未能履行本协议相关的义务，且经采购人书面警告、敦促后仍未切实整改或履行的，采购人有权终止协议，</w:t>
            </w:r>
            <w:r>
              <w:rPr>
                <w:sz w:val="22"/>
                <w:szCs w:val="22"/>
                <w:highlight w:val="none"/>
              </w:rPr>
              <w:t>成交供应商</w:t>
            </w:r>
            <w:r>
              <w:rPr>
                <w:rFonts w:hint="eastAsia"/>
                <w:sz w:val="22"/>
                <w:szCs w:val="22"/>
                <w:highlight w:val="none"/>
              </w:rPr>
              <w:t>所投的设备等在协议期内无偿归采购人支配使用，采购人视后期改造投入和收益情况给予成交供应商适当的补偿。</w:t>
            </w:r>
          </w:p>
          <w:p>
            <w:pPr>
              <w:adjustRightInd w:val="0"/>
              <w:spacing w:line="288" w:lineRule="auto"/>
              <w:ind w:firstLine="440" w:firstLineChars="200"/>
              <w:rPr>
                <w:rFonts w:hint="eastAsia" w:ascii="宋体" w:hAnsi="宋体" w:cs="宋体"/>
                <w:sz w:val="22"/>
                <w:szCs w:val="22"/>
                <w:highlight w:val="none"/>
              </w:rPr>
            </w:pPr>
            <w:r>
              <w:rPr>
                <w:color w:val="FF0000"/>
                <w:sz w:val="22"/>
                <w:szCs w:val="22"/>
                <w:highlight w:val="none"/>
              </w:rPr>
              <w:t>2．</w:t>
            </w:r>
            <w:r>
              <w:rPr>
                <w:rFonts w:hint="eastAsia" w:ascii="宋体" w:hAnsi="宋体" w:cs="宋体"/>
                <w:sz w:val="22"/>
                <w:szCs w:val="22"/>
                <w:highlight w:val="none"/>
              </w:rPr>
              <w:t>成交供应商接到成交通知书后，在规定时间内借故否认已经承诺的条件而拒签合同者，以磋商违约处理。成交供应商承担由此造成的直接经济损失，采购人保留向其索赔的权力。</w:t>
            </w:r>
          </w:p>
          <w:p>
            <w:pPr>
              <w:spacing w:line="360" w:lineRule="exact"/>
              <w:ind w:firstLine="440" w:firstLineChars="200"/>
              <w:rPr>
                <w:sz w:val="22"/>
                <w:szCs w:val="22"/>
                <w:highlight w:val="none"/>
              </w:rPr>
            </w:pPr>
            <w:r>
              <w:rPr>
                <w:rFonts w:hint="eastAsia"/>
                <w:sz w:val="22"/>
                <w:szCs w:val="22"/>
                <w:highlight w:val="none"/>
              </w:rPr>
              <w:t>3</w:t>
            </w:r>
            <w:r>
              <w:rPr>
                <w:sz w:val="22"/>
                <w:szCs w:val="22"/>
                <w:highlight w:val="none"/>
              </w:rPr>
              <w:t>．若采购人在合同期未满就无故提出解除合同，则成交供应商有权拆除及收回投资购置的所有设备。并要求采购人支付一定数额的违约金，违约金的计算方式由双方协商决定。</w:t>
            </w:r>
          </w:p>
          <w:p>
            <w:pPr>
              <w:spacing w:line="360" w:lineRule="exact"/>
              <w:ind w:firstLine="440" w:firstLineChars="200"/>
              <w:rPr>
                <w:sz w:val="22"/>
                <w:szCs w:val="22"/>
                <w:highlight w:val="none"/>
              </w:rPr>
            </w:pPr>
            <w:r>
              <w:rPr>
                <w:rFonts w:hint="eastAsia"/>
                <w:sz w:val="22"/>
                <w:szCs w:val="22"/>
                <w:highlight w:val="none"/>
              </w:rPr>
              <w:t>4</w:t>
            </w:r>
            <w:r>
              <w:rPr>
                <w:sz w:val="22"/>
                <w:szCs w:val="22"/>
                <w:highlight w:val="none"/>
              </w:rPr>
              <w:t>．任何一方的违约行为造成合同的终止，守约方有权要求违约方赔偿其因此造成的经济损失，违约责任不因合同的终止而解除。</w:t>
            </w:r>
          </w:p>
          <w:p>
            <w:pPr>
              <w:spacing w:line="360" w:lineRule="exact"/>
              <w:ind w:firstLine="440" w:firstLineChars="200"/>
              <w:rPr>
                <w:sz w:val="22"/>
                <w:szCs w:val="22"/>
                <w:highlight w:val="none"/>
              </w:rPr>
            </w:pPr>
            <w:r>
              <w:rPr>
                <w:rFonts w:hint="eastAsia"/>
                <w:sz w:val="22"/>
                <w:szCs w:val="22"/>
                <w:highlight w:val="none"/>
              </w:rPr>
              <w:t>5</w:t>
            </w:r>
            <w:r>
              <w:rPr>
                <w:sz w:val="22"/>
                <w:szCs w:val="22"/>
                <w:highlight w:val="none"/>
              </w:rPr>
              <w:t>．任何一方对另一方违约行为的宽限，均不应视为放弃对违约方的追究和索赔的权利，也不应视为对该等违约行为的认可。</w:t>
            </w:r>
          </w:p>
          <w:p>
            <w:pPr>
              <w:spacing w:line="360" w:lineRule="exact"/>
              <w:ind w:firstLine="440" w:firstLineChars="200"/>
              <w:rPr>
                <w:sz w:val="22"/>
                <w:szCs w:val="22"/>
                <w:highlight w:val="none"/>
              </w:rPr>
            </w:pPr>
            <w:r>
              <w:rPr>
                <w:rFonts w:hint="eastAsia"/>
                <w:sz w:val="22"/>
                <w:szCs w:val="22"/>
                <w:highlight w:val="none"/>
              </w:rPr>
              <w:t>6</w:t>
            </w:r>
            <w:r>
              <w:rPr>
                <w:sz w:val="22"/>
                <w:szCs w:val="22"/>
                <w:highlight w:val="none"/>
              </w:rPr>
              <w:t>．因成交供应商原因发生重大质量事故，除依约承担赔偿责任外，还将按有关质量管理办法规定执行。若发生死亡安全事故，除按国家有关安全管理规定及采购人有关安全管理办法执行外，采购人有权保留更换成交供应商的权利，并报相关行政主管部门处罚；发生重大安全事故或特大安全事故，除按国家有关安全管理规定及采购人有关安全管理办法执行外，采购人有权终止合同，给采购人造成的损失，还应承担赔偿责任。</w:t>
            </w:r>
          </w:p>
          <w:p>
            <w:pPr>
              <w:spacing w:line="360" w:lineRule="exact"/>
              <w:ind w:firstLine="440" w:firstLineChars="200"/>
              <w:rPr>
                <w:sz w:val="22"/>
                <w:szCs w:val="22"/>
                <w:highlight w:val="none"/>
              </w:rPr>
            </w:pPr>
          </w:p>
          <w:p>
            <w:pPr>
              <w:pStyle w:val="3"/>
              <w:rPr>
                <w:sz w:val="22"/>
                <w:szCs w:val="22"/>
                <w:highlight w:val="none"/>
              </w:rPr>
            </w:pPr>
            <w:r>
              <w:rPr>
                <w:sz w:val="22"/>
                <w:szCs w:val="22"/>
                <w:highlight w:val="none"/>
              </w:rPr>
              <w:t>六、其它要求</w:t>
            </w:r>
          </w:p>
          <w:p>
            <w:pPr>
              <w:spacing w:line="360" w:lineRule="exact"/>
              <w:ind w:firstLine="440" w:firstLineChars="200"/>
              <w:rPr>
                <w:sz w:val="22"/>
                <w:szCs w:val="22"/>
                <w:highlight w:val="none"/>
              </w:rPr>
            </w:pPr>
            <w:r>
              <w:rPr>
                <w:sz w:val="22"/>
                <w:szCs w:val="22"/>
                <w:highlight w:val="none"/>
              </w:rPr>
              <w:t>1．为了保证师生能够自主选择不同运营商提供的网络接入服务，要求供应商在中标后，须承诺无条件开放校园无线网络，允许其他国内运营商租用其所建网络，具体租赁价格由供应商与运营商</w:t>
            </w:r>
            <w:r>
              <w:rPr>
                <w:rFonts w:hint="eastAsia"/>
                <w:sz w:val="22"/>
                <w:szCs w:val="22"/>
                <w:highlight w:val="none"/>
              </w:rPr>
              <w:t>参照当地其它院校</w:t>
            </w:r>
            <w:r>
              <w:rPr>
                <w:sz w:val="22"/>
                <w:szCs w:val="22"/>
                <w:highlight w:val="none"/>
              </w:rPr>
              <w:t>租赁</w:t>
            </w:r>
            <w:r>
              <w:rPr>
                <w:rFonts w:hint="eastAsia"/>
                <w:sz w:val="22"/>
                <w:szCs w:val="22"/>
                <w:highlight w:val="none"/>
              </w:rPr>
              <w:t>标准</w:t>
            </w:r>
            <w:r>
              <w:rPr>
                <w:sz w:val="22"/>
                <w:szCs w:val="22"/>
                <w:highlight w:val="none"/>
              </w:rPr>
              <w:t>协商确认，并报校方备案。供应商须在响应文件中对此条款</w:t>
            </w:r>
            <w:r>
              <w:rPr>
                <w:rFonts w:hint="eastAsia"/>
                <w:sz w:val="22"/>
                <w:szCs w:val="22"/>
                <w:highlight w:val="none"/>
              </w:rPr>
              <w:t>做</w:t>
            </w:r>
            <w:r>
              <w:rPr>
                <w:sz w:val="22"/>
                <w:szCs w:val="22"/>
                <w:highlight w:val="none"/>
              </w:rPr>
              <w:t>出书面承诺，否则按照无效响应处理；同时所建网络能够与学校现有身份认证系统联动，并根据用户信息来分配对应的运营商链路及带宽。</w:t>
            </w:r>
          </w:p>
          <w:p>
            <w:pPr>
              <w:spacing w:line="360" w:lineRule="exact"/>
              <w:ind w:firstLine="440" w:firstLineChars="200"/>
              <w:rPr>
                <w:sz w:val="22"/>
                <w:szCs w:val="22"/>
                <w:highlight w:val="none"/>
              </w:rPr>
            </w:pPr>
            <w:r>
              <w:rPr>
                <w:sz w:val="22"/>
                <w:szCs w:val="22"/>
                <w:highlight w:val="none"/>
              </w:rPr>
              <w:t>2．校园无线网络的校园网接入运营业务不得强制性捆绑手机套餐或限制用户的正当选择权，用户可自由选择，允许用户不绑定手机套餐单独申请校园网接入。在服务期限内，为了保证师生利益，避免运营商间的恶意竞争，维持正常网络运行，要求根据用户带宽（10Mbps、20Mbps等）按阶梯价收取网资费，其收费标准须书面征得校方认可方能实施。供应商须在响应文件中对此</w:t>
            </w:r>
            <w:r>
              <w:rPr>
                <w:rFonts w:hint="eastAsia"/>
                <w:sz w:val="22"/>
                <w:szCs w:val="22"/>
                <w:highlight w:val="none"/>
              </w:rPr>
              <w:t>做</w:t>
            </w:r>
            <w:r>
              <w:rPr>
                <w:sz w:val="22"/>
                <w:szCs w:val="22"/>
                <w:highlight w:val="none"/>
              </w:rPr>
              <w:t>出书面承诺，否则按照无效响应处理。</w:t>
            </w:r>
          </w:p>
          <w:p>
            <w:pPr>
              <w:spacing w:line="360" w:lineRule="exact"/>
              <w:ind w:firstLine="440" w:firstLineChars="200"/>
              <w:rPr>
                <w:sz w:val="22"/>
                <w:szCs w:val="22"/>
                <w:highlight w:val="none"/>
              </w:rPr>
            </w:pPr>
            <w:r>
              <w:rPr>
                <w:sz w:val="22"/>
                <w:szCs w:val="22"/>
                <w:highlight w:val="none"/>
              </w:rPr>
              <w:t>3．成交供应商须承诺为校园网络用户提供每户不低于10Mbps的互联网出口带宽，当互联网出口专线利用率达到70%时，成交供应商应增加互联网出口专线的带宽。如其它电信运营商租用成交供应商所建无线网络向用户提供接入服务，其互联网出口专线的要求与成交供应商相同。</w:t>
            </w:r>
          </w:p>
          <w:p>
            <w:pPr>
              <w:spacing w:line="360" w:lineRule="exact"/>
              <w:ind w:firstLine="440" w:firstLineChars="200"/>
              <w:rPr>
                <w:sz w:val="22"/>
                <w:szCs w:val="22"/>
                <w:highlight w:val="none"/>
              </w:rPr>
            </w:pPr>
            <w:r>
              <w:rPr>
                <w:rFonts w:hint="eastAsia"/>
                <w:sz w:val="22"/>
                <w:szCs w:val="22"/>
                <w:highlight w:val="none"/>
              </w:rPr>
              <w:t>4．协议有效期内，为了保证学生的权益，成交供应商必须提供与在温高校资费水平相当的套餐供学生选择，其资费标准为不大于电信、移动、联通三大运营商为在温高校学生提供的网络相关套餐最低价的平均值。</w:t>
            </w:r>
          </w:p>
          <w:p>
            <w:pPr>
              <w:spacing w:line="360" w:lineRule="exact"/>
              <w:ind w:firstLine="440" w:firstLineChars="200"/>
              <w:rPr>
                <w:sz w:val="22"/>
                <w:szCs w:val="22"/>
                <w:highlight w:val="none"/>
              </w:rPr>
            </w:pPr>
            <w:r>
              <w:rPr>
                <w:rFonts w:hint="eastAsia"/>
                <w:sz w:val="22"/>
                <w:szCs w:val="22"/>
                <w:highlight w:val="none"/>
              </w:rPr>
              <w:t>5．如果采购人学生中因为网络问题出现不稳定因素、或者出现群体事件苗头的，则成交供应商必须先无条件配合学校解决问题，期间如果成交供应商正当利益受到损失的，采购人后续要视情况予以补偿。此情况下双方的任何行为都不视为违约。</w:t>
            </w:r>
          </w:p>
          <w:p>
            <w:pPr>
              <w:spacing w:line="360" w:lineRule="exact"/>
              <w:ind w:firstLine="440" w:firstLineChars="200"/>
              <w:rPr>
                <w:sz w:val="22"/>
                <w:szCs w:val="22"/>
                <w:highlight w:val="none"/>
              </w:rPr>
            </w:pPr>
            <w:r>
              <w:rPr>
                <w:rFonts w:hint="eastAsia"/>
                <w:sz w:val="22"/>
                <w:szCs w:val="22"/>
                <w:highlight w:val="none"/>
              </w:rPr>
              <w:t>6．成交供应商必须聘请有资质的工程监理单位监督整个网络工程的施工过程，并在验收时向采购人提供全套监理资料。</w:t>
            </w:r>
          </w:p>
          <w:p>
            <w:pPr>
              <w:pStyle w:val="2"/>
              <w:ind w:right="-252"/>
              <w:rPr>
                <w:rFonts w:hint="eastAsia" w:cs="宋体"/>
                <w:b/>
                <w:bCs/>
                <w:spacing w:val="-6"/>
                <w:sz w:val="22"/>
                <w:szCs w:val="22"/>
                <w:highlight w:val="none"/>
              </w:rPr>
            </w:pPr>
          </w:p>
        </w:tc>
      </w:tr>
    </w:tbl>
    <w:p>
      <w:pPr>
        <w:pStyle w:val="2"/>
        <w:ind w:left="0" w:right="-252"/>
        <w:rPr>
          <w:rFonts w:hint="eastAsia" w:cs="宋体"/>
          <w:b/>
          <w:bCs/>
          <w:spacing w:val="-6"/>
          <w:sz w:val="22"/>
          <w:szCs w:val="22"/>
          <w:highlight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30AFFA"/>
    <w:multiLevelType w:val="singleLevel"/>
    <w:tmpl w:val="B730AFFA"/>
    <w:lvl w:ilvl="0" w:tentative="0">
      <w:start w:val="3"/>
      <w:numFmt w:val="chineseCounting"/>
      <w:suff w:val="nothing"/>
      <w:lvlText w:val="%1、"/>
      <w:lvlJc w:val="left"/>
      <w:rPr>
        <w:rFonts w:hint="eastAsia"/>
      </w:rPr>
    </w:lvl>
  </w:abstractNum>
  <w:abstractNum w:abstractNumId="1">
    <w:nsid w:val="18A47C47"/>
    <w:multiLevelType w:val="multilevel"/>
    <w:tmpl w:val="18A47C4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1A6079AC"/>
    <w:multiLevelType w:val="multilevel"/>
    <w:tmpl w:val="1A6079A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1C047951"/>
    <w:multiLevelType w:val="multilevel"/>
    <w:tmpl w:val="1C047951"/>
    <w:lvl w:ilvl="0" w:tentative="0">
      <w:start w:val="1"/>
      <w:numFmt w:val="bullet"/>
      <w:lvlText w:val=""/>
      <w:lvlJc w:val="left"/>
      <w:pPr>
        <w:ind w:left="542" w:hanging="420"/>
      </w:pPr>
      <w:rPr>
        <w:rFonts w:hint="default" w:ascii="Wingdings" w:hAnsi="Wingdings"/>
      </w:rPr>
    </w:lvl>
    <w:lvl w:ilvl="1" w:tentative="0">
      <w:start w:val="1"/>
      <w:numFmt w:val="bullet"/>
      <w:lvlText w:val=""/>
      <w:lvlJc w:val="left"/>
      <w:pPr>
        <w:ind w:left="962" w:hanging="420"/>
      </w:pPr>
      <w:rPr>
        <w:rFonts w:hint="default" w:ascii="Wingdings" w:hAnsi="Wingdings"/>
      </w:rPr>
    </w:lvl>
    <w:lvl w:ilvl="2" w:tentative="0">
      <w:start w:val="1"/>
      <w:numFmt w:val="bullet"/>
      <w:lvlText w:val=""/>
      <w:lvlJc w:val="left"/>
      <w:pPr>
        <w:ind w:left="1382" w:hanging="420"/>
      </w:pPr>
      <w:rPr>
        <w:rFonts w:hint="default" w:ascii="Wingdings" w:hAnsi="Wingdings"/>
      </w:rPr>
    </w:lvl>
    <w:lvl w:ilvl="3" w:tentative="0">
      <w:start w:val="1"/>
      <w:numFmt w:val="bullet"/>
      <w:lvlText w:val=""/>
      <w:lvlJc w:val="left"/>
      <w:pPr>
        <w:ind w:left="1802" w:hanging="420"/>
      </w:pPr>
      <w:rPr>
        <w:rFonts w:hint="default" w:ascii="Wingdings" w:hAnsi="Wingdings"/>
      </w:rPr>
    </w:lvl>
    <w:lvl w:ilvl="4" w:tentative="0">
      <w:start w:val="1"/>
      <w:numFmt w:val="bullet"/>
      <w:lvlText w:val=""/>
      <w:lvlJc w:val="left"/>
      <w:pPr>
        <w:ind w:left="2222" w:hanging="420"/>
      </w:pPr>
      <w:rPr>
        <w:rFonts w:hint="default" w:ascii="Wingdings" w:hAnsi="Wingdings"/>
      </w:rPr>
    </w:lvl>
    <w:lvl w:ilvl="5" w:tentative="0">
      <w:start w:val="1"/>
      <w:numFmt w:val="bullet"/>
      <w:lvlText w:val=""/>
      <w:lvlJc w:val="left"/>
      <w:pPr>
        <w:ind w:left="2642" w:hanging="420"/>
      </w:pPr>
      <w:rPr>
        <w:rFonts w:hint="default" w:ascii="Wingdings" w:hAnsi="Wingdings"/>
      </w:rPr>
    </w:lvl>
    <w:lvl w:ilvl="6" w:tentative="0">
      <w:start w:val="1"/>
      <w:numFmt w:val="bullet"/>
      <w:lvlText w:val=""/>
      <w:lvlJc w:val="left"/>
      <w:pPr>
        <w:ind w:left="3062" w:hanging="420"/>
      </w:pPr>
      <w:rPr>
        <w:rFonts w:hint="default" w:ascii="Wingdings" w:hAnsi="Wingdings"/>
      </w:rPr>
    </w:lvl>
    <w:lvl w:ilvl="7" w:tentative="0">
      <w:start w:val="1"/>
      <w:numFmt w:val="bullet"/>
      <w:lvlText w:val=""/>
      <w:lvlJc w:val="left"/>
      <w:pPr>
        <w:ind w:left="3482" w:hanging="420"/>
      </w:pPr>
      <w:rPr>
        <w:rFonts w:hint="default" w:ascii="Wingdings" w:hAnsi="Wingdings"/>
      </w:rPr>
    </w:lvl>
    <w:lvl w:ilvl="8" w:tentative="0">
      <w:start w:val="1"/>
      <w:numFmt w:val="bullet"/>
      <w:lvlText w:val=""/>
      <w:lvlJc w:val="left"/>
      <w:pPr>
        <w:ind w:left="3902" w:hanging="420"/>
      </w:pPr>
      <w:rPr>
        <w:rFonts w:hint="default" w:ascii="Wingdings" w:hAnsi="Wingdings"/>
      </w:rPr>
    </w:lvl>
  </w:abstractNum>
  <w:abstractNum w:abstractNumId="4">
    <w:nsid w:val="2DED2B80"/>
    <w:multiLevelType w:val="multilevel"/>
    <w:tmpl w:val="2DED2B8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376445C5"/>
    <w:multiLevelType w:val="multilevel"/>
    <w:tmpl w:val="376445C5"/>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6">
    <w:nsid w:val="3B8401D7"/>
    <w:multiLevelType w:val="multilevel"/>
    <w:tmpl w:val="3B8401D7"/>
    <w:lvl w:ilvl="0" w:tentative="0">
      <w:start w:val="1"/>
      <w:numFmt w:val="bullet"/>
      <w:lvlText w:val=""/>
      <w:lvlJc w:val="left"/>
      <w:pPr>
        <w:ind w:left="899" w:hanging="420"/>
      </w:pPr>
      <w:rPr>
        <w:rFonts w:hint="default" w:ascii="Wingdings" w:hAnsi="Wingdings"/>
      </w:rPr>
    </w:lvl>
    <w:lvl w:ilvl="1" w:tentative="0">
      <w:start w:val="1"/>
      <w:numFmt w:val="bullet"/>
      <w:lvlText w:val=""/>
      <w:lvlJc w:val="left"/>
      <w:pPr>
        <w:ind w:left="1319" w:hanging="420"/>
      </w:pPr>
      <w:rPr>
        <w:rFonts w:hint="default" w:ascii="Wingdings" w:hAnsi="Wingdings"/>
      </w:rPr>
    </w:lvl>
    <w:lvl w:ilvl="2" w:tentative="0">
      <w:start w:val="1"/>
      <w:numFmt w:val="bullet"/>
      <w:lvlText w:val=""/>
      <w:lvlJc w:val="left"/>
      <w:pPr>
        <w:ind w:left="1739" w:hanging="420"/>
      </w:pPr>
      <w:rPr>
        <w:rFonts w:hint="default" w:ascii="Wingdings" w:hAnsi="Wingdings"/>
      </w:rPr>
    </w:lvl>
    <w:lvl w:ilvl="3" w:tentative="0">
      <w:start w:val="1"/>
      <w:numFmt w:val="bullet"/>
      <w:lvlText w:val=""/>
      <w:lvlJc w:val="left"/>
      <w:pPr>
        <w:ind w:left="2159" w:hanging="420"/>
      </w:pPr>
      <w:rPr>
        <w:rFonts w:hint="default" w:ascii="Wingdings" w:hAnsi="Wingdings"/>
      </w:rPr>
    </w:lvl>
    <w:lvl w:ilvl="4" w:tentative="0">
      <w:start w:val="1"/>
      <w:numFmt w:val="bullet"/>
      <w:lvlText w:val=""/>
      <w:lvlJc w:val="left"/>
      <w:pPr>
        <w:ind w:left="2579" w:hanging="420"/>
      </w:pPr>
      <w:rPr>
        <w:rFonts w:hint="default" w:ascii="Wingdings" w:hAnsi="Wingdings"/>
      </w:rPr>
    </w:lvl>
    <w:lvl w:ilvl="5" w:tentative="0">
      <w:start w:val="1"/>
      <w:numFmt w:val="bullet"/>
      <w:lvlText w:val=""/>
      <w:lvlJc w:val="left"/>
      <w:pPr>
        <w:ind w:left="2999" w:hanging="420"/>
      </w:pPr>
      <w:rPr>
        <w:rFonts w:hint="default" w:ascii="Wingdings" w:hAnsi="Wingdings"/>
      </w:rPr>
    </w:lvl>
    <w:lvl w:ilvl="6" w:tentative="0">
      <w:start w:val="1"/>
      <w:numFmt w:val="bullet"/>
      <w:lvlText w:val=""/>
      <w:lvlJc w:val="left"/>
      <w:pPr>
        <w:ind w:left="3419" w:hanging="420"/>
      </w:pPr>
      <w:rPr>
        <w:rFonts w:hint="default" w:ascii="Wingdings" w:hAnsi="Wingdings"/>
      </w:rPr>
    </w:lvl>
    <w:lvl w:ilvl="7" w:tentative="0">
      <w:start w:val="1"/>
      <w:numFmt w:val="bullet"/>
      <w:lvlText w:val=""/>
      <w:lvlJc w:val="left"/>
      <w:pPr>
        <w:ind w:left="3839" w:hanging="420"/>
      </w:pPr>
      <w:rPr>
        <w:rFonts w:hint="default" w:ascii="Wingdings" w:hAnsi="Wingdings"/>
      </w:rPr>
    </w:lvl>
    <w:lvl w:ilvl="8" w:tentative="0">
      <w:start w:val="1"/>
      <w:numFmt w:val="bullet"/>
      <w:lvlText w:val=""/>
      <w:lvlJc w:val="left"/>
      <w:pPr>
        <w:ind w:left="4259" w:hanging="420"/>
      </w:pPr>
      <w:rPr>
        <w:rFonts w:hint="default" w:ascii="Wingdings" w:hAnsi="Wingdings"/>
      </w:rPr>
    </w:lvl>
  </w:abstractNum>
  <w:abstractNum w:abstractNumId="7">
    <w:nsid w:val="3DB3491C"/>
    <w:multiLevelType w:val="multilevel"/>
    <w:tmpl w:val="3DB3491C"/>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8">
    <w:nsid w:val="4E6E1A91"/>
    <w:multiLevelType w:val="multilevel"/>
    <w:tmpl w:val="4E6E1A91"/>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9">
    <w:nsid w:val="55DF0ADB"/>
    <w:multiLevelType w:val="multilevel"/>
    <w:tmpl w:val="55DF0ADB"/>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6"/>
  </w:num>
  <w:num w:numId="3">
    <w:abstractNumId w:val="1"/>
  </w:num>
  <w:num w:numId="4">
    <w:abstractNumId w:val="9"/>
  </w:num>
  <w:num w:numId="5">
    <w:abstractNumId w:val="3"/>
  </w:num>
  <w:num w:numId="6">
    <w:abstractNumId w:val="5"/>
  </w:num>
  <w:num w:numId="7">
    <w:abstractNumId w:val="7"/>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041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08" w:lineRule="auto"/>
      <w:outlineLvl w:val="1"/>
    </w:pPr>
    <w:rPr>
      <w:rFonts w:ascii="Arial" w:hAnsi="Arial" w:eastAsia="黑体"/>
      <w:sz w:val="28"/>
      <w:szCs w:val="32"/>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paragraph" w:styleId="5">
    <w:name w:val="heading 6"/>
    <w:basedOn w:val="1"/>
    <w:next w:val="1"/>
    <w:qFormat/>
    <w:uiPriority w:val="9"/>
    <w:pPr>
      <w:keepNext/>
      <w:keepLines/>
      <w:spacing w:before="240" w:after="64" w:line="320" w:lineRule="auto"/>
      <w:outlineLvl w:val="5"/>
    </w:pPr>
    <w:rPr>
      <w:rFonts w:ascii="Cambria" w:hAnsi="Cambria" w:eastAsia="宋体" w:cs="Times New Roman"/>
      <w:b/>
      <w:bCs/>
      <w:sz w:val="24"/>
      <w:szCs w:val="24"/>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lock Text"/>
    <w:basedOn w:val="1"/>
    <w:uiPriority w:val="99"/>
    <w:pPr>
      <w:adjustRightInd w:val="0"/>
      <w:spacing w:line="300" w:lineRule="auto"/>
      <w:ind w:left="958" w:rightChars="-120"/>
      <w:jc w:val="left"/>
    </w:pPr>
    <w:rPr>
      <w:rFonts w:ascii="宋体" w:hAnsi="宋体"/>
      <w:sz w:val="28"/>
    </w:rPr>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me</dc:creator>
  <cp:lastModifiedBy>me</cp:lastModifiedBy>
  <dcterms:modified xsi:type="dcterms:W3CDTF">2019-05-17T06:41:07Z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