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7573F">
      <w:pPr>
        <w:widowControl/>
        <w:snapToGrid w:val="0"/>
        <w:spacing w:line="480" w:lineRule="exact"/>
        <w:jc w:val="left"/>
        <w:outlineLvl w:val="0"/>
        <w:rPr>
          <w:rFonts w:ascii="宋体" w:hAnsi="宋体" w:eastAsia="宋体" w:cs="Times New Roman"/>
          <w:bCs/>
          <w:i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iCs/>
          <w:kern w:val="0"/>
          <w:sz w:val="24"/>
          <w:szCs w:val="24"/>
        </w:rPr>
        <w:t>附件1</w:t>
      </w:r>
    </w:p>
    <w:p w14:paraId="4FF8FAB1">
      <w:pPr>
        <w:widowControl/>
        <w:snapToGrid w:val="0"/>
        <w:spacing w:line="480" w:lineRule="exact"/>
        <w:jc w:val="center"/>
        <w:outlineLvl w:val="0"/>
        <w:rPr>
          <w:rFonts w:ascii="宋体" w:hAnsi="宋体" w:eastAsia="宋体" w:cs="Times New Roman"/>
          <w:b/>
          <w:bCs/>
          <w:iCs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iCs/>
          <w:kern w:val="0"/>
          <w:sz w:val="32"/>
          <w:szCs w:val="32"/>
        </w:rPr>
        <w:t>中国高校产学研创新基金-海光信息高校智算创新专项</w:t>
      </w:r>
    </w:p>
    <w:p w14:paraId="71699D18">
      <w:pPr>
        <w:widowControl/>
        <w:snapToGrid w:val="0"/>
        <w:spacing w:after="312" w:afterLines="100" w:line="480" w:lineRule="exact"/>
        <w:jc w:val="center"/>
        <w:outlineLvl w:val="0"/>
        <w:rPr>
          <w:rFonts w:ascii="宋体" w:hAnsi="宋体" w:eastAsia="宋体" w:cs="Times New Roman"/>
          <w:b/>
          <w:bCs/>
          <w:iCs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iCs/>
          <w:kern w:val="0"/>
          <w:sz w:val="32"/>
          <w:szCs w:val="32"/>
        </w:rPr>
        <w:t>申请指南说明</w:t>
      </w:r>
    </w:p>
    <w:p w14:paraId="1991B1B9">
      <w:pPr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 《关于申报202</w:t>
      </w:r>
      <w:r>
        <w:rPr>
          <w:rFonts w:ascii="宋体" w:hAnsi="宋体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年中国高校产学研创新基金的通知》（教科发中心函〔2026〕5号)的相关要求，教育部高等学校科学研究发展中心与海光信息技术股份有限公司、知识加速（北京）科技有限公司联合设立“2</w:t>
      </w:r>
      <w:r>
        <w:rPr>
          <w:rFonts w:ascii="宋体" w:hAnsi="宋体" w:eastAsia="宋体" w:cs="宋体"/>
          <w:kern w:val="0"/>
          <w:sz w:val="24"/>
          <w:szCs w:val="24"/>
        </w:rPr>
        <w:t>026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中国高校产学研创新基金-海光信息高校智算创新专项”，支持教育行业在教育教学、评价治理、人才培养、学科科研、产学研和就业、高校智算中心、高校人工智能工厂等方向的科学研究和教学实践，聚焦“国产算力、AI驱动、产学研协同”，强化校企合作、共建创新载体、推动成果落地。</w:t>
      </w:r>
    </w:p>
    <w:p w14:paraId="1695C9A7">
      <w:pPr>
        <w:widowControl/>
        <w:spacing w:before="156" w:beforeLines="50" w:line="480" w:lineRule="exact"/>
        <w:ind w:firstLine="562" w:firstLineChars="200"/>
        <w:contextualSpacing/>
        <w:outlineLvl w:val="1"/>
        <w:rPr>
          <w:rFonts w:ascii="Times New Roman" w:hAnsi="Times New Roman" w:eastAsia="微软雅黑" w:cs="Times New Roman"/>
          <w:b/>
          <w:bCs/>
          <w:iCs/>
          <w:kern w:val="0"/>
          <w:sz w:val="28"/>
        </w:rPr>
      </w:pPr>
      <w:r>
        <w:rPr>
          <w:rFonts w:hint="eastAsia" w:ascii="Times New Roman" w:hAnsi="Times New Roman" w:eastAsia="微软雅黑" w:cs="Times New Roman"/>
          <w:b/>
          <w:bCs/>
          <w:iCs/>
          <w:kern w:val="0"/>
          <w:sz w:val="28"/>
        </w:rPr>
        <w:t>一、课题说明</w:t>
      </w:r>
    </w:p>
    <w:p w14:paraId="493D596D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1.“</w:t>
      </w:r>
      <w:bookmarkStart w:id="0" w:name="_Hlk240370038"/>
      <w:r>
        <w:rPr>
          <w:rFonts w:hint="eastAsia" w:ascii="宋体" w:hAnsi="宋体" w:eastAsia="宋体" w:cs="宋体"/>
          <w:kern w:val="0"/>
          <w:sz w:val="24"/>
          <w:szCs w:val="24"/>
        </w:rPr>
        <w:t>海光信息高校智算创新专项</w:t>
      </w:r>
      <w:bookmarkEnd w:id="0"/>
      <w:r>
        <w:rPr>
          <w:rFonts w:hint="eastAsia" w:ascii="宋体" w:hAnsi="宋体" w:eastAsia="宋体" w:cs="宋体"/>
          <w:kern w:val="0"/>
          <w:sz w:val="24"/>
          <w:szCs w:val="24"/>
        </w:rPr>
        <w:t>”，以科技变革促进教育变革，以自主算力和智能赋能教育教学、评价治理、人才培养、学科科研、产学研和就业、行业领域融合创新等。</w:t>
      </w:r>
    </w:p>
    <w:p w14:paraId="12CE4A83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2.“</w:t>
      </w:r>
      <w:r>
        <w:rPr>
          <w:rFonts w:hint="eastAsia" w:ascii="宋体" w:hAnsi="宋体" w:eastAsia="宋体" w:cs="宋体"/>
          <w:kern w:val="0"/>
          <w:sz w:val="24"/>
          <w:szCs w:val="24"/>
        </w:rPr>
        <w:t>海光信息高校智算创新专项”的申请截止时间为2026年11月15日。计划执行时间为2027年</w:t>
      </w:r>
      <w:r>
        <w:rPr>
          <w:rFonts w:ascii="宋体" w:hAnsi="宋体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月～2028年</w:t>
      </w:r>
      <w:r>
        <w:rPr>
          <w:rFonts w:ascii="宋体" w:hAnsi="宋体" w:eastAsia="宋体" w:cs="宋体"/>
          <w:kern w:val="0"/>
          <w:sz w:val="24"/>
          <w:szCs w:val="24"/>
        </w:rPr>
        <w:t>12</w:t>
      </w:r>
      <w:r>
        <w:rPr>
          <w:rFonts w:hint="eastAsia" w:ascii="宋体" w:hAnsi="宋体" w:eastAsia="宋体" w:cs="宋体"/>
          <w:kern w:val="0"/>
          <w:sz w:val="24"/>
          <w:szCs w:val="24"/>
        </w:rPr>
        <w:t>月，可根据课题复杂程度适度延长执行周期，最长不超过两年。</w:t>
      </w:r>
    </w:p>
    <w:p w14:paraId="473CB8FD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3.“</w:t>
      </w:r>
      <w:r>
        <w:rPr>
          <w:rFonts w:hint="eastAsia" w:ascii="宋体" w:hAnsi="宋体" w:eastAsia="宋体" w:cs="宋体"/>
          <w:kern w:val="0"/>
          <w:sz w:val="24"/>
          <w:szCs w:val="24"/>
        </w:rPr>
        <w:t>海光信息高校智算创新专项” 每个立项课题提供总经费</w:t>
      </w:r>
      <w:r>
        <w:rPr>
          <w:rFonts w:ascii="宋体" w:hAnsi="宋体" w:eastAsia="宋体" w:cs="宋体"/>
          <w:kern w:val="0"/>
          <w:sz w:val="24"/>
          <w:szCs w:val="24"/>
        </w:rPr>
        <w:t>10万元至50</w:t>
      </w:r>
      <w:r>
        <w:rPr>
          <w:rFonts w:hint="eastAsia" w:ascii="宋体" w:hAnsi="宋体" w:eastAsia="宋体" w:cs="宋体"/>
          <w:kern w:val="0"/>
          <w:sz w:val="24"/>
          <w:szCs w:val="24"/>
        </w:rPr>
        <w:t>万元的课题研究经费及科研软硬件平台支持，其中课题研究经费5万元至</w:t>
      </w:r>
      <w:r>
        <w:rPr>
          <w:rFonts w:ascii="宋体" w:hAnsi="宋体" w:eastAsia="宋体" w:cs="宋体"/>
          <w:kern w:val="0"/>
          <w:sz w:val="24"/>
          <w:szCs w:val="24"/>
        </w:rPr>
        <w:t>25</w:t>
      </w:r>
      <w:r>
        <w:rPr>
          <w:rFonts w:hint="eastAsia" w:ascii="宋体" w:hAnsi="宋体" w:eastAsia="宋体" w:cs="宋体"/>
          <w:kern w:val="0"/>
          <w:sz w:val="24"/>
          <w:szCs w:val="24"/>
        </w:rPr>
        <w:t>万元。</w:t>
      </w:r>
    </w:p>
    <w:p w14:paraId="7D748EE4">
      <w:pPr>
        <w:snapToGrid w:val="0"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</w:t>
      </w:r>
      <w:r>
        <w:rPr>
          <w:rFonts w:ascii="宋体" w:hAnsi="宋体" w:eastAsia="宋体" w:cs="宋体"/>
          <w:kern w:val="0"/>
          <w:sz w:val="24"/>
          <w:szCs w:val="24"/>
        </w:rPr>
        <w:t>.“</w:t>
      </w:r>
      <w:r>
        <w:rPr>
          <w:rFonts w:hint="eastAsia" w:ascii="宋体" w:hAnsi="宋体" w:eastAsia="宋体" w:cs="宋体"/>
          <w:kern w:val="0"/>
          <w:sz w:val="24"/>
          <w:szCs w:val="24"/>
        </w:rPr>
        <w:t>海光信息高校智算创新专项”的课题的选题方向见表一。申请人选择课题方向进行申报，要求基于基金课题提供的技术及应用等进行研究（相关技术、应用和软硬件平台介绍见表二）。</w:t>
      </w:r>
    </w:p>
    <w:p w14:paraId="6D152FD7">
      <w:pPr>
        <w:widowControl/>
        <w:spacing w:line="500" w:lineRule="exact"/>
        <w:jc w:val="center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表一</w:t>
      </w:r>
      <w:r>
        <w:rPr>
          <w:rFonts w:ascii="宋体" w:hAnsi="宋体" w:eastAsia="宋体" w:cs="宋体"/>
          <w:b/>
          <w:kern w:val="0"/>
          <w:sz w:val="24"/>
          <w:szCs w:val="24"/>
        </w:rPr>
        <w:t xml:space="preserve">  “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海光信息高校智算创新专项”选题列表</w:t>
      </w:r>
    </w:p>
    <w:tbl>
      <w:tblPr>
        <w:tblStyle w:val="8"/>
        <w:tblW w:w="51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397"/>
        <w:gridCol w:w="6928"/>
      </w:tblGrid>
      <w:tr w14:paraId="3256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25" w:type="pct"/>
            <w:shd w:val="clear" w:color="000000" w:fill="D0CECE"/>
            <w:noWrap/>
            <w:vAlign w:val="center"/>
          </w:tcPr>
          <w:p w14:paraId="6A2EA133">
            <w:pPr>
              <w:widowControl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课题方</w:t>
            </w:r>
          </w:p>
          <w:p w14:paraId="19EB224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向编号</w:t>
            </w:r>
          </w:p>
        </w:tc>
        <w:tc>
          <w:tcPr>
            <w:tcW w:w="751" w:type="pct"/>
            <w:shd w:val="clear" w:color="000000" w:fill="D0CECE"/>
            <w:vAlign w:val="center"/>
          </w:tcPr>
          <w:p w14:paraId="6C8DF3B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课题方向</w:t>
            </w:r>
          </w:p>
        </w:tc>
        <w:tc>
          <w:tcPr>
            <w:tcW w:w="3724" w:type="pct"/>
            <w:shd w:val="clear" w:color="000000" w:fill="D0CECE"/>
            <w:noWrap/>
            <w:vAlign w:val="center"/>
          </w:tcPr>
          <w:p w14:paraId="1CCAFCE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课题研究内容</w:t>
            </w:r>
          </w:p>
        </w:tc>
      </w:tr>
      <w:tr w14:paraId="6790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2F22F8F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A01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6BB55778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智算赋能高校教学、评价与治理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26E98497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依托国产算力和智能技术，围绕教育教学全过程，加强与国产化AI的深度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融合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。同时围绕便捷服务、精准管理、科学决策，打造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安全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可控的教育大脑，提升高校治理的现代化与智能化水平。</w:t>
            </w:r>
          </w:p>
        </w:tc>
      </w:tr>
      <w:tr w14:paraId="7FF0D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28EE0B9E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4F406C50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智算赋能未来教育空间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75881093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依托国产算力和智能底座，打造虚实融合的未来课堂、未来学校、未来学习中心与未来实训中心。深化国产虚拟仿真实验与数字教材建设，构建沉浸式教学空间与人机协同教学新模式，支撑规模教育下的个性化学习。</w:t>
            </w:r>
          </w:p>
        </w:tc>
      </w:tr>
      <w:tr w14:paraId="4769B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56721CB5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72C43BC5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智算赋能高层次人才培养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6D35E39C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依托国产算力和智能生态，整合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院校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与科技领军企业力量，深化学科交叉、产教融合与科教融汇，探索国产计算、智能以及跨学科创新人才培养新模式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。</w:t>
            </w:r>
          </w:p>
        </w:tc>
      </w:tr>
      <w:tr w14:paraId="480A6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3DEB3368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A04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031FE0AC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智算赋能职业教育和双高建设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78FAC953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紧扣“双高计划”与“五金”新基建需求，筑牢自主可控的国产化智算底座。联合行业龙头企业，共建产教融合大模型，将真实产线工艺与行业标准转化为数字化教学资源，破解人才培养与产业脱节难题。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推进职教出海。</w:t>
            </w:r>
          </w:p>
        </w:tc>
      </w:tr>
      <w:tr w14:paraId="5FFE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512E905F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02657890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智算与教育深度融合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09CEDCF2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探索国产算力智能赋能体育、美育、劳动教育及科技教育的有效路径，促进学生德智体美劳全面发展与个性化成长。</w:t>
            </w:r>
          </w:p>
        </w:tc>
      </w:tr>
      <w:tr w14:paraId="7F17C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4FBCC3A0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17A99F21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智算赋能就业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614A6BD6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聚焦全周期就业服务与深度产教融合，利用大数据与AI技术重塑人才培养链条。面向学生，打造“AI就业智能体”，提供从AI简历优化、模拟面试到VR沉浸式职业体验的一站式服务，并通过多维能力画像实现人岗精准匹配与个性化职业规划。面向产业，深化“政产学研金”协同创新，推广“订单式”与“项目制”人才培养模式，共建校企共享的数字实训基地。</w:t>
            </w:r>
          </w:p>
        </w:tc>
      </w:tr>
      <w:tr w14:paraId="625EA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4E8A0A63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20BD5733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智算赋能学科建设和科学研究，建设科研智能体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1AC71433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搭建科研智能体和智能实验集群，探索AI驱动的科研范式变革。全面赋能生物医药、新材料、能源化工、高端装备、半导体、低空经济、智慧矿山、智慧水务、智慧粮储等实体产业，深度融合供应链管理、数字营销、跨境电商、财务预算、合规风控、科研设计、工艺优化、生产排程、智慧运维、办公协同及后勤保障等全业务链条。建设人工智能学科交叉创新平台，推动科研平台智能升级，实现自动化设计实验方案与数据分析，加速科研成果向行业应用转化，大幅提升科研创新效率。</w:t>
            </w:r>
          </w:p>
        </w:tc>
      </w:tr>
      <w:tr w14:paraId="76A3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64095339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54CA8C72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高校智算中心建设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797AC9FA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围绕高校算力、数据、智能与安全等核心需求，共建“高校智算中心”，打造集五大核心功能于一体的综合性创新平台：建设“智算实验室”，聚焦信创、人工智能等前沿科研与关键技术攻关；打造“智算资源中心”，提供集约化算力、工具链与高质量数据集；设立“智算人才中心”，致力于高水平科技人才的培养、评价、认证与学术生态构建；构建“智算实训创业工场”，强化应用型人才的实践教学、实习实训与创新创业孵化；搭建“科技服务中心”，作为校地协同与成果转化的核心窗口，推动创新服务与社会辐射。</w:t>
            </w:r>
          </w:p>
        </w:tc>
      </w:tr>
      <w:tr w14:paraId="33ECC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4D9D77B8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09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2D06AF2D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高校人工智能工厂建设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747B2950">
            <w:pPr>
              <w:widowControl/>
              <w:shd w:val="clear" w:color="auto" w:fill="FFFFFF"/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高校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人工智能工厂，融合教育链、人才链与产业链的新型基础设施，实现高素质AI人才培养与区域数字经济发展的双向赋能。1.赋能高校：构建产教融合的实战育人体系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将产业级的AI流程、工具及场景引入教学体系，解决人才培养与产业需求脱节的痛点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实现毕业生与行业岗位的无缝衔接。2.服务区域：打造集约高效的产业赋能引擎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以高校为对接窗口，以人工智能工厂为集约化生产底座，快速响应区域内多元产业的定制化AI需求。通过输出成熟的垂类模型、智能体解决方案及专业技术人才，有效降低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区域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的智能化转型门槛与成本，推动区域产业结构优化升级，为地方数字经济的高质量发展提供持续的智力支撑与技术动能。</w:t>
            </w:r>
          </w:p>
        </w:tc>
      </w:tr>
      <w:tr w14:paraId="4B470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771F17D7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7EE2885D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产学研共同体创新试点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53966254">
            <w:pPr>
              <w:widowControl/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聚焦以下方向，面向师生，推进产学研融合创新，包括不限于：1.共建“联合课程”，联合开发，联合认证，服务于未来学校、未来教师、未来课堂、未来学习中心建设；2.共建“</w:t>
            </w:r>
            <w:bookmarkStart w:id="1" w:name="OLE_LINK28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实践实训</w:t>
            </w:r>
            <w:bookmarkEnd w:id="1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基地”，依托海光和1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00+政企客户及伙伴，服务师生实践实训；3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创新“校企双向奔赴”，推进高校专家兼职企业科学家，企业专家兼职院校导师，落实双导师机制；4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共建“联合实验室”，支持数据、算力、人才等资源共享；5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共建“可信教育档案”：支撑以上学习经历、成果、报告文档可信、可查、可验 ；6.打造科学文化研学基地7. 签署“校企产学研共同体”协议，支撑以上目标分批分阶段落地。</w:t>
            </w:r>
          </w:p>
        </w:tc>
      </w:tr>
      <w:tr w14:paraId="40E2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7E90604C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bookmarkStart w:id="2" w:name="OLE_LINK6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</w:t>
            </w:r>
            <w:bookmarkEnd w:id="2"/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03CB416B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bookmarkStart w:id="3" w:name="OLE_LINK7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高校科技服务工作站试点</w:t>
            </w:r>
            <w:bookmarkEnd w:id="3"/>
          </w:p>
        </w:tc>
        <w:tc>
          <w:tcPr>
            <w:tcW w:w="3724" w:type="pct"/>
            <w:shd w:val="clear" w:color="auto" w:fill="auto"/>
            <w:vAlign w:val="center"/>
          </w:tcPr>
          <w:p w14:paraId="27995873">
            <w:pPr>
              <w:widowControl/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依托相关平台，试点建设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高校科技服务工作站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，提供标准化知识产权及科研工具服务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包括：1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科技资源共享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推进数据、工具、服务的共建共享；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可信评价认证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包括专利评估、成果评估、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科技查新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报告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查收查引报告等；3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院校成果转化：对接市场企业，推进专利池合作、价值管理和转化；4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人才和学术合作：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开展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课程、证书、实践实训、学术研学交流等合作。</w:t>
            </w:r>
          </w:p>
        </w:tc>
      </w:tr>
      <w:tr w14:paraId="12A3E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525" w:type="pct"/>
            <w:shd w:val="clear" w:color="auto" w:fill="auto"/>
            <w:noWrap/>
            <w:vAlign w:val="center"/>
          </w:tcPr>
          <w:p w14:paraId="5F4C7210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A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12C0BFE9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教育综合档案试点</w:t>
            </w:r>
          </w:p>
        </w:tc>
        <w:tc>
          <w:tcPr>
            <w:tcW w:w="3724" w:type="pct"/>
            <w:shd w:val="clear" w:color="auto" w:fill="auto"/>
            <w:vAlign w:val="center"/>
          </w:tcPr>
          <w:p w14:paraId="078EF6EF">
            <w:pPr>
              <w:spacing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教育综合档案，面向高校、师生、产学研伙伴及社会公众，提供教育数据的存储、溯源、查询、核验认证等公共服务，支撑</w:t>
            </w:r>
            <w:bookmarkStart w:id="4" w:name="OLE_LINK20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学术数据、学习成果、学习记录</w:t>
            </w:r>
            <w:bookmarkEnd w:id="4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的全生命周期管理。四部分功能：一是档案馆，全程溯源，构建可信数据档案库；二是公证处，提供数据查询、核验认证，支撑申报、评审、人才等场景；三是简历库，生成可共享的教育/学术履历，记录成长轨迹，助力职业发展；四是生态服务站，支持</w:t>
            </w:r>
            <w:bookmarkStart w:id="5" w:name="OLE_LINK29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伙伴依规接入，构建产学研共赢生态。</w:t>
            </w:r>
            <w:bookmarkEnd w:id="5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据涵盖：学术成果（科技查新报告、查收查引证明、科研成果报告、学术评估报告等）、教育轨迹（课程学习记录、实践实训档案、联合培养成果等）、发展历程（竞赛展演证明、社团活动记录、校企合作成果、人才评价报告等）和个性化档案（支持自定义）等。</w:t>
            </w:r>
          </w:p>
        </w:tc>
      </w:tr>
    </w:tbl>
    <w:p w14:paraId="64A096D9">
      <w:pPr>
        <w:widowControl/>
        <w:spacing w:line="500" w:lineRule="exact"/>
        <w:jc w:val="center"/>
        <w:rPr>
          <w:rFonts w:ascii="宋体" w:hAnsi="宋体" w:eastAsia="宋体" w:cs="宋体"/>
          <w:b/>
          <w:kern w:val="0"/>
          <w:sz w:val="24"/>
          <w:szCs w:val="24"/>
        </w:rPr>
      </w:pPr>
    </w:p>
    <w:p w14:paraId="1D08848A">
      <w:pPr>
        <w:widowControl/>
        <w:spacing w:line="480" w:lineRule="exact"/>
        <w:ind w:firstLine="562" w:firstLineChars="200"/>
        <w:contextualSpacing/>
        <w:jc w:val="left"/>
        <w:outlineLvl w:val="1"/>
        <w:rPr>
          <w:rFonts w:ascii="Times New Roman" w:hAnsi="Times New Roman" w:eastAsia="微软雅黑" w:cs="Times New Roman"/>
          <w:b/>
          <w:bCs/>
          <w:iCs/>
          <w:kern w:val="0"/>
          <w:sz w:val="28"/>
        </w:rPr>
      </w:pPr>
      <w:r>
        <w:rPr>
          <w:rFonts w:hint="eastAsia" w:ascii="Times New Roman" w:hAnsi="Times New Roman" w:eastAsia="微软雅黑" w:cs="Times New Roman"/>
          <w:b/>
          <w:bCs/>
          <w:iCs/>
          <w:kern w:val="0"/>
          <w:sz w:val="28"/>
        </w:rPr>
        <w:t>二、申报条件和要求</w:t>
      </w:r>
    </w:p>
    <w:p w14:paraId="4D50341D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 团队成员在选定的研究课题方向有较好的技术储备，包括与申报课题研究内容相关的研究成果、教材、论文、专利、获奖等。</w:t>
      </w:r>
    </w:p>
    <w:p w14:paraId="7BF3F306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 团队组成合理，分工明确，数量不少于3人。</w:t>
      </w:r>
    </w:p>
    <w:p w14:paraId="5032DB42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 优先支持已经设立相关专业或者已经成立相关研究中心的院校。</w:t>
      </w:r>
    </w:p>
    <w:p w14:paraId="5A4B5899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 优先支持研究内容有创造性、前瞻性和实用性，有商业化前景的课题。</w:t>
      </w:r>
    </w:p>
    <w:p w14:paraId="270C83BB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. 优先支持有明确研究成果，成果有应用价值，可复制、可推广的课题，不支持纯理论研究。</w:t>
      </w:r>
    </w:p>
    <w:p w14:paraId="536AE71F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. 优先支持研究方向明确，研究内容详实，研究方案完整可行的课题。</w:t>
      </w:r>
    </w:p>
    <w:p w14:paraId="726F186D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 xml:space="preserve">7. </w:t>
      </w:r>
      <w:r>
        <w:rPr>
          <w:rFonts w:hint="eastAsia" w:ascii="宋体" w:hAnsi="宋体" w:eastAsia="宋体" w:cs="宋体"/>
          <w:kern w:val="0"/>
          <w:sz w:val="24"/>
          <w:szCs w:val="24"/>
        </w:rPr>
        <w:t>支持“院校+企业”联合申报，需明确对接企业实际业务场景。</w:t>
      </w:r>
    </w:p>
    <w:p w14:paraId="5FBD9CF6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 xml:space="preserve">8. </w:t>
      </w:r>
      <w:r>
        <w:rPr>
          <w:rFonts w:hint="eastAsia" w:ascii="宋体" w:hAnsi="宋体" w:eastAsia="宋体" w:cs="宋体"/>
          <w:kern w:val="0"/>
          <w:sz w:val="24"/>
          <w:szCs w:val="24"/>
        </w:rPr>
        <w:t>课题申报及执行过程中所有的材料均须严格遵守《中华人民共和国保守国家秘密法》及相关保密规定，不含任何国家秘密、工作秘密、商业秘密及其他涉密敏感信息，若因材料涉密引发相关责任，由申报人及申报单位自行承担。</w:t>
      </w:r>
    </w:p>
    <w:p w14:paraId="6E5954D2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.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申请人应客观、真实地填写申请书，没有知识产权争议，遵守国家有关知识产权法规。在课题申请</w:t>
      </w:r>
      <w:r>
        <w:rPr>
          <w:rFonts w:ascii="宋体" w:hAnsi="宋体" w:eastAsia="宋体" w:cs="宋体"/>
          <w:kern w:val="0"/>
          <w:sz w:val="24"/>
          <w:szCs w:val="24"/>
        </w:rPr>
        <w:t>书</w:t>
      </w:r>
      <w:r>
        <w:rPr>
          <w:rFonts w:hint="eastAsia" w:ascii="宋体" w:hAnsi="宋体" w:eastAsia="宋体" w:cs="宋体"/>
          <w:kern w:val="0"/>
          <w:sz w:val="24"/>
          <w:szCs w:val="24"/>
        </w:rPr>
        <w:t>中引用他人研究成果时，必须以脚注或其他方式注明出处，引用目的应是介绍、评论与自己的研究相关的成果或说明与自己的研究相关的技术问题。对于伪造、篡改科学数据，抄袭他人著作、论文或者剽窃他人科研成果等科研不端行为，一经查实，将取消申请资格。</w:t>
      </w:r>
    </w:p>
    <w:p w14:paraId="6950CE31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</w:rPr>
        <w:t>.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资助课题获得的知识产权由</w:t>
      </w:r>
      <w:r>
        <w:rPr>
          <w:rFonts w:hint="eastAsia" w:ascii="宋体" w:hAnsi="宋体" w:eastAsia="宋体" w:cs="宋体"/>
          <w:kern w:val="0"/>
          <w:sz w:val="24"/>
          <w:szCs w:val="24"/>
        </w:rPr>
        <w:t>资助方</w:t>
      </w:r>
      <w:r>
        <w:rPr>
          <w:rFonts w:ascii="宋体" w:hAnsi="宋体" w:eastAsia="宋体" w:cs="宋体"/>
          <w:kern w:val="0"/>
          <w:sz w:val="24"/>
          <w:szCs w:val="24"/>
        </w:rPr>
        <w:t>和</w:t>
      </w:r>
      <w:r>
        <w:rPr>
          <w:rFonts w:hint="eastAsia" w:ascii="宋体" w:hAnsi="宋体" w:eastAsia="宋体" w:cs="宋体"/>
          <w:kern w:val="0"/>
          <w:sz w:val="24"/>
          <w:szCs w:val="24"/>
        </w:rPr>
        <w:t>课题</w:t>
      </w:r>
      <w:r>
        <w:rPr>
          <w:rFonts w:ascii="宋体" w:hAnsi="宋体" w:eastAsia="宋体" w:cs="宋体"/>
          <w:kern w:val="0"/>
          <w:sz w:val="24"/>
          <w:szCs w:val="24"/>
        </w:rPr>
        <w:t>承担单位共同所有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1DA1A8AF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11</w:t>
      </w:r>
      <w:r>
        <w:rPr>
          <w:rFonts w:hint="eastAsia" w:ascii="宋体" w:hAnsi="宋体" w:eastAsia="宋体" w:cs="宋体"/>
          <w:kern w:val="0"/>
          <w:sz w:val="24"/>
          <w:szCs w:val="24"/>
        </w:rPr>
        <w:t>.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课题组需具备可独立支配的课题研究基础软硬件条件。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6CBAF68F">
      <w:pPr>
        <w:widowControl/>
        <w:spacing w:line="480" w:lineRule="exact"/>
        <w:ind w:firstLine="562" w:firstLineChars="200"/>
        <w:contextualSpacing/>
        <w:jc w:val="left"/>
        <w:outlineLvl w:val="1"/>
        <w:rPr>
          <w:rFonts w:ascii="Times New Roman" w:hAnsi="Times New Roman" w:eastAsia="微软雅黑" w:cs="Times New Roman"/>
          <w:b/>
          <w:bCs/>
          <w:iCs/>
          <w:kern w:val="0"/>
          <w:sz w:val="28"/>
        </w:rPr>
      </w:pPr>
      <w:r>
        <w:rPr>
          <w:rFonts w:hint="eastAsia" w:ascii="Times New Roman" w:hAnsi="Times New Roman" w:eastAsia="微软雅黑" w:cs="Times New Roman"/>
          <w:b/>
          <w:bCs/>
          <w:iCs/>
          <w:kern w:val="0"/>
          <w:sz w:val="28"/>
        </w:rPr>
        <w:t>三、资源及服务</w:t>
      </w:r>
    </w:p>
    <w:p w14:paraId="01E35C1A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海光信息技术股份有限公司是中国高端处理器（芯片）领域的领军企业，也是国产算力底座的坚实奠基者。专注CPU与DCU自主研发，产品兼容x86及类CUDA环境，是国产服务器CPU龙头。公司以"CPU+DCU"异构计算切入AI算力，DCU已适配绝大多数主流大模型；研发团队逾千人、硕博占比超80%，牵头"光合组织"生态，汇聚6000余家合作伙伴，以"内生安全"技术赋能千行百业智能化转型。</w:t>
      </w:r>
    </w:p>
    <w:p w14:paraId="581DC72A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针对入选合作院校，基金将提供完善的资源和服务体系，以保证院校顺利开展合作课题，并为院校在教育教学、评价治理、人才培养、学科科研、产学研和就业、高校智算中心、高校人工智能工厂等方向的科学研究和教学实践，为技术应用创新、数实融合、产业升级和高质量发展提供长期有效的支持。</w:t>
      </w:r>
    </w:p>
    <w:p w14:paraId="225AAB1D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“</w:t>
      </w:r>
      <w:r>
        <w:rPr>
          <w:rFonts w:hint="eastAsia" w:ascii="宋体" w:hAnsi="宋体" w:eastAsia="宋体" w:cs="宋体"/>
          <w:kern w:val="0"/>
          <w:sz w:val="24"/>
          <w:szCs w:val="24"/>
        </w:rPr>
        <w:t>海光信息高校智算创新专项”为每个立项课题提供对应的研究经费及科研软硬件平台支持，为申报团队提供创新项目选题指导，并根据需求开展服务校方等工作。</w:t>
      </w:r>
    </w:p>
    <w:p w14:paraId="142DA4FF">
      <w:pPr>
        <w:widowControl/>
        <w:spacing w:line="48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项目发起单位将辅助、联合申报院校申报新的科研课题，提供项目咨询服务和技术支持，辅助科研成果的快速产品化及解决方案的包装。</w:t>
      </w:r>
    </w:p>
    <w:p w14:paraId="682B37CE">
      <w:pPr>
        <w:adjustRightInd w:val="0"/>
        <w:snapToGrid w:val="0"/>
        <w:spacing w:line="480" w:lineRule="exact"/>
        <w:jc w:val="center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表二 提供给课题研究的软硬件服务说明</w:t>
      </w:r>
    </w:p>
    <w:tbl>
      <w:tblPr>
        <w:tblStyle w:val="8"/>
        <w:tblW w:w="51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453"/>
        <w:gridCol w:w="6545"/>
      </w:tblGrid>
      <w:tr w14:paraId="6E4D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1" w:type="pct"/>
            <w:shd w:val="clear" w:color="000000" w:fill="C0C0C0"/>
            <w:vAlign w:val="center"/>
          </w:tcPr>
          <w:p w14:paraId="71CCC3B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theme="minorEastAsia"/>
                <w:b/>
                <w:szCs w:val="21"/>
              </w:rPr>
              <w:t>技术平台及服务编号</w:t>
            </w:r>
          </w:p>
        </w:tc>
        <w:tc>
          <w:tcPr>
            <w:tcW w:w="781" w:type="pct"/>
            <w:shd w:val="clear" w:color="000000" w:fill="C0C0C0"/>
            <w:vAlign w:val="center"/>
          </w:tcPr>
          <w:p w14:paraId="1CEF86E0">
            <w:pPr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theme="minorEastAsia"/>
                <w:b/>
                <w:szCs w:val="21"/>
              </w:rPr>
              <w:t>技术平台及服务名称</w:t>
            </w:r>
          </w:p>
        </w:tc>
        <w:tc>
          <w:tcPr>
            <w:tcW w:w="3518" w:type="pct"/>
            <w:shd w:val="clear" w:color="000000" w:fill="C0C0C0"/>
            <w:vAlign w:val="center"/>
          </w:tcPr>
          <w:p w14:paraId="69A1989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theme="minorEastAsia"/>
                <w:b/>
                <w:szCs w:val="21"/>
              </w:rPr>
              <w:t>详细介绍</w:t>
            </w:r>
          </w:p>
        </w:tc>
      </w:tr>
      <w:tr w14:paraId="3A521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639A8715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bookmarkStart w:id="6" w:name="_Hlk240371358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B01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14E13288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云管理工具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6E132A36">
            <w:pPr>
              <w:widowControl/>
              <w:spacing w:before="31" w:beforeLines="10"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为用户提供计算、网络、存储、安全、边缘节点管理的一体化能力。通过与中心云、本地云、专享云相互配合，实现中心-边缘协同、全网算力调度、全网统一管控等能力。提供基础版，限院校本课题研究使用。</w:t>
            </w:r>
          </w:p>
        </w:tc>
      </w:tr>
      <w:tr w14:paraId="43DDF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36B767F8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B02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128CD6D8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大模型工具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34951AB1">
            <w:pPr>
              <w:widowControl/>
              <w:spacing w:before="31" w:beforeLines="10"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大模型的部署实施工具，算力调度工具，集群管理工具等。提供基础版，限院校本课题研究使用。</w:t>
            </w:r>
          </w:p>
        </w:tc>
      </w:tr>
      <w:tr w14:paraId="0937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3EA5C758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B03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6E4AFCBA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数据工具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43290C5D">
            <w:pPr>
              <w:widowControl/>
              <w:spacing w:before="31" w:beforeLines="10"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一站式构建数据中台，提供从数据源到数据应用全链路解决方案。包括数据集成、数据开发、数据治理、数据服务、数据可视化等。提供基础版，限院校本课题研究使用。</w:t>
            </w:r>
          </w:p>
        </w:tc>
      </w:tr>
      <w:tr w14:paraId="3D04F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3E6EF260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1F728316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低代码模型设计器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641352A6">
            <w:pPr>
              <w:widowControl/>
              <w:spacing w:before="31" w:beforeLines="10"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40种以上开发模型的可视化开发、建模工具，覆盖UI展现层、API服务层、BFF前后端适配层、业务流程层、领域服务层与持久化层，内置可重用技术构件、业务构件、开发模板等软件资产库，方便用户建模。提供基础版，限院校本课题研究使用。</w:t>
            </w:r>
          </w:p>
        </w:tc>
      </w:tr>
      <w:tr w14:paraId="3C81F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305AAF06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5A48BBFA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智能体开发平台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46384874">
            <w:pPr>
              <w:widowControl/>
              <w:spacing w:before="31" w:beforeLines="10"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集智能体生产、管理、运营、应用于一体的操作系统级平台，兼容业界主流大模型，提供智能体构建和可视化编排能力，赋能开发者快速打造生产级应用，打通大模型场景落地的 “最后一公里”。包括对多来源模型的支持、直观的提示词编排界面、高质量RAG 引擎、稳健的 Agent 框架、灵活的流程编排，内置文本处理、图像处理等多种AI工具，支持零代码、低代码开发方式。提供基础版，限院校本课题研究使用。</w:t>
            </w:r>
          </w:p>
        </w:tc>
      </w:tr>
      <w:tr w14:paraId="1DAC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123D9BE9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06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1C9075E5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智能问答框架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229463E8">
            <w:pPr>
              <w:widowControl/>
              <w:spacing w:before="31" w:beforeLines="10" w:line="300" w:lineRule="exac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智能问答服务，支持自然场景下交流文本的意图检测、语义识别，关键词提取及翻译，提供基于自然语言描述的交互入口，支持师生对人工智能跨学科翻译研究和探索。提供基础版，限院校本课题研究使用。</w:t>
            </w:r>
          </w:p>
        </w:tc>
      </w:tr>
      <w:tr w14:paraId="63F42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077B5F47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07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092D8D36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联合共建服务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1D6959A9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配套A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方向，可选择以下的1个或几个方向</w:t>
            </w:r>
          </w:p>
          <w:p w14:paraId="6DA15799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1.共建联合课程</w:t>
            </w:r>
          </w:p>
          <w:p w14:paraId="61AA730E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2.共建实践实训基地</w:t>
            </w:r>
          </w:p>
          <w:p w14:paraId="630CBE45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创新校企双向奔赴</w:t>
            </w:r>
          </w:p>
          <w:p w14:paraId="7AEC4344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共建实验室</w:t>
            </w:r>
          </w:p>
          <w:p w14:paraId="13C2956B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共建可信档案体系</w:t>
            </w:r>
          </w:p>
          <w:p w14:paraId="10EA3940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科学文化研学基地</w:t>
            </w:r>
          </w:p>
          <w:p w14:paraId="3C3E17B0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共建产教共同体</w:t>
            </w:r>
          </w:p>
        </w:tc>
      </w:tr>
      <w:tr w14:paraId="146C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6662197D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08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24DF4302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高校科技服务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1A4BD374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配套A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方向，提供科技资源共享、可信评价认证、院校成果转化、人才和学术合作包括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开展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课程、证书、实践实训、学术研学交流合作，限院校本课题研究使用。</w:t>
            </w:r>
          </w:p>
        </w:tc>
      </w:tr>
      <w:tr w14:paraId="07DBB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shd w:val="clear" w:color="auto" w:fill="auto"/>
            <w:vAlign w:val="center"/>
          </w:tcPr>
          <w:p w14:paraId="4E5E176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B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09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0A27B4D7">
            <w:pPr>
              <w:widowControl/>
              <w:spacing w:line="3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教育档案溯源服务</w:t>
            </w:r>
          </w:p>
        </w:tc>
        <w:tc>
          <w:tcPr>
            <w:tcW w:w="3518" w:type="pct"/>
            <w:shd w:val="clear" w:color="auto" w:fill="auto"/>
            <w:vAlign w:val="center"/>
          </w:tcPr>
          <w:p w14:paraId="5D75D67A">
            <w:pPr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配套A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方向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,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采集院校的学术数据、学习成果、学习记录等，统一至教育档案存档；限院校本课题研究使用。</w:t>
            </w:r>
          </w:p>
        </w:tc>
      </w:tr>
      <w:bookmarkEnd w:id="6"/>
    </w:tbl>
    <w:p w14:paraId="04A33697">
      <w:pPr>
        <w:spacing w:line="480" w:lineRule="exact"/>
        <w:ind w:firstLine="562" w:firstLineChars="200"/>
        <w:contextualSpacing/>
        <w:outlineLvl w:val="1"/>
        <w:rPr>
          <w:rFonts w:ascii="宋体" w:hAnsi="宋体" w:eastAsia="宋体" w:cs="Times New Roman"/>
          <w:b/>
          <w:bCs/>
          <w:iCs/>
          <w:kern w:val="0"/>
          <w:sz w:val="28"/>
        </w:rPr>
      </w:pPr>
    </w:p>
    <w:p w14:paraId="733C76CC">
      <w:pPr>
        <w:spacing w:line="480" w:lineRule="exact"/>
        <w:ind w:firstLine="562" w:firstLineChars="200"/>
        <w:contextualSpacing/>
        <w:outlineLvl w:val="1"/>
        <w:rPr>
          <w:rFonts w:ascii="Times New Roman" w:hAnsi="Times New Roman" w:eastAsia="微软雅黑" w:cs="Times New Roman"/>
          <w:b/>
          <w:bCs/>
          <w:iCs/>
          <w:kern w:val="0"/>
          <w:sz w:val="28"/>
        </w:rPr>
      </w:pPr>
      <w:r>
        <w:rPr>
          <w:rFonts w:hint="eastAsia" w:ascii="Times New Roman" w:hAnsi="Times New Roman" w:eastAsia="微软雅黑" w:cs="Times New Roman"/>
          <w:b/>
          <w:bCs/>
          <w:iCs/>
          <w:kern w:val="0"/>
          <w:sz w:val="28"/>
        </w:rPr>
        <w:t>四、课题申报说明</w:t>
      </w:r>
    </w:p>
    <w:p w14:paraId="2F015837">
      <w:pPr>
        <w:widowControl/>
        <w:snapToGrid w:val="0"/>
        <w:spacing w:line="480" w:lineRule="exact"/>
        <w:ind w:firstLine="480" w:firstLineChars="200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申请人须仔细阅读申请指南，按照指南详细填写申请书，填写不合要求的课题会按照格式不符合要求处理。</w:t>
      </w:r>
    </w:p>
    <w:p w14:paraId="5284C2D0">
      <w:pPr>
        <w:widowControl/>
        <w:snapToGrid w:val="0"/>
        <w:spacing w:line="480" w:lineRule="exact"/>
        <w:ind w:firstLine="480" w:firstLineChars="200"/>
        <w:contextualSpacing/>
        <w:outlineLvl w:val="1"/>
        <w:rPr>
          <w:rFonts w:ascii="宋体" w:hAnsi="宋体" w:eastAsia="宋体" w:cs="Times New Roman"/>
          <w:i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2.</w:t>
      </w: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请各课题申请人按要求填写申请书（申请书中手机和邮箱必须填写），加盖公章及签字后扫描上传至：</w:t>
      </w:r>
      <w:r>
        <w:rPr>
          <w:rFonts w:ascii="Times New Roman" w:hAnsi="Times New Roman" w:eastAsia="宋体" w:cs="Times New Roman"/>
          <w:b/>
          <w:iCs/>
          <w:kern w:val="0"/>
          <w:sz w:val="24"/>
          <w:szCs w:val="24"/>
        </w:rPr>
        <w:t>http</w:t>
      </w:r>
      <w:r>
        <w:rPr>
          <w:rFonts w:hint="eastAsia" w:ascii="Times New Roman" w:hAnsi="Times New Roman" w:eastAsia="宋体" w:cs="Times New Roman"/>
          <w:b/>
          <w:iCs/>
          <w:kern w:val="0"/>
          <w:sz w:val="24"/>
          <w:szCs w:val="24"/>
        </w:rPr>
        <w:t>s</w:t>
      </w:r>
      <w:r>
        <w:rPr>
          <w:rFonts w:ascii="Times New Roman" w:hAnsi="Times New Roman" w:eastAsia="宋体" w:cs="Times New Roman"/>
          <w:b/>
          <w:iCs/>
          <w:kern w:val="0"/>
          <w:sz w:val="24"/>
          <w:szCs w:val="24"/>
        </w:rPr>
        <w:t>://cxjj.cutech.edu.cn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；为方便评审，申请书扫描件请按以下命名规则命名：学校名称+申请人姓名。</w:t>
      </w:r>
    </w:p>
    <w:p w14:paraId="12D14C57">
      <w:pPr>
        <w:widowControl/>
        <w:snapToGrid w:val="0"/>
        <w:spacing w:line="480" w:lineRule="exact"/>
        <w:ind w:firstLine="480" w:firstLineChars="200"/>
        <w:contextualSpacing/>
        <w:outlineLvl w:val="1"/>
        <w:rPr>
          <w:rFonts w:ascii="宋体" w:hAnsi="宋体" w:eastAsia="宋体" w:cs="Times New Roman"/>
          <w:i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3.</w:t>
      </w: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申请截止时</w:t>
      </w:r>
      <w:r>
        <w:rPr>
          <w:rFonts w:hint="eastAsia" w:ascii="宋体" w:hAnsi="宋体" w:eastAsia="宋体" w:cs="宋体"/>
          <w:kern w:val="0"/>
          <w:sz w:val="24"/>
          <w:szCs w:val="24"/>
        </w:rPr>
        <w:t>间为2026年11月15日。</w:t>
      </w:r>
    </w:p>
    <w:p w14:paraId="7D930BCB">
      <w:pPr>
        <w:widowControl/>
        <w:snapToGrid w:val="0"/>
        <w:spacing w:line="480" w:lineRule="exact"/>
        <w:ind w:firstLine="480" w:firstLineChars="200"/>
        <w:contextualSpacing/>
        <w:outlineLvl w:val="1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4.</w:t>
      </w: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课题的执行时间为</w:t>
      </w:r>
      <w:r>
        <w:rPr>
          <w:rFonts w:hint="eastAsia" w:ascii="宋体" w:hAnsi="宋体" w:eastAsia="宋体" w:cs="宋体"/>
          <w:kern w:val="0"/>
          <w:sz w:val="24"/>
          <w:szCs w:val="24"/>
        </w:rPr>
        <w:t>202</w:t>
      </w:r>
      <w:r>
        <w:rPr>
          <w:rFonts w:ascii="宋体" w:hAnsi="宋体" w:eastAsia="宋体" w:cs="宋体"/>
          <w:kern w:val="0"/>
          <w:sz w:val="24"/>
          <w:szCs w:val="24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ascii="宋体" w:hAnsi="宋体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月～2028年</w:t>
      </w:r>
      <w:r>
        <w:rPr>
          <w:rFonts w:ascii="宋体" w:hAnsi="宋体" w:eastAsia="宋体" w:cs="宋体"/>
          <w:kern w:val="0"/>
          <w:sz w:val="24"/>
          <w:szCs w:val="24"/>
        </w:rPr>
        <w:t>12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</w:rPr>
        <w:t>可根据课题复杂程度适度延长执行周期，最长不超过两年。</w:t>
      </w:r>
    </w:p>
    <w:p w14:paraId="45AB7DC9">
      <w:pPr>
        <w:snapToGrid w:val="0"/>
        <w:spacing w:line="480" w:lineRule="exact"/>
        <w:ind w:firstLine="480" w:firstLineChars="200"/>
        <w:outlineLvl w:val="1"/>
        <w:rPr>
          <w:rFonts w:ascii="宋体" w:hAnsi="宋体" w:eastAsia="宋体" w:cs="Times New Roman"/>
          <w:i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5</w:t>
      </w: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.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每位申报人限报一项课题。</w:t>
      </w:r>
    </w:p>
    <w:p w14:paraId="6266CE21">
      <w:pPr>
        <w:snapToGrid w:val="0"/>
        <w:spacing w:line="480" w:lineRule="exact"/>
        <w:ind w:firstLine="480" w:firstLineChars="200"/>
        <w:outlineLvl w:val="1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6. </w:t>
      </w:r>
      <w:r>
        <w:rPr>
          <w:rFonts w:hint="eastAsia" w:ascii="宋体" w:hAnsi="宋体" w:eastAsia="宋体" w:cs="宋体"/>
          <w:kern w:val="0"/>
          <w:sz w:val="24"/>
          <w:szCs w:val="24"/>
        </w:rPr>
        <w:t>课题选题列表上的选题方向都不限定课题数量，但是如果存在内容重复的相似课题，专家组将根据课题组技术积累、课题方案、课题支撑条件等要素择优选择资助课题。</w:t>
      </w:r>
    </w:p>
    <w:p w14:paraId="06E40E72">
      <w:pPr>
        <w:widowControl/>
        <w:adjustRightInd w:val="0"/>
        <w:snapToGrid w:val="0"/>
        <w:spacing w:line="480" w:lineRule="exact"/>
        <w:ind w:firstLine="480" w:firstLineChars="200"/>
        <w:outlineLvl w:val="1"/>
        <w:rPr>
          <w:rFonts w:ascii="Times New Roman" w:hAnsi="Times New Roman" w:eastAsia="微软雅黑" w:cs="Times New Roman"/>
          <w:b/>
          <w:bCs/>
          <w:iCs/>
          <w:kern w:val="0"/>
          <w:sz w:val="28"/>
        </w:rPr>
      </w:pPr>
      <w:r>
        <w:rPr>
          <w:rFonts w:ascii="宋体" w:hAnsi="宋体" w:eastAsia="宋体" w:cs="Times New Roman"/>
          <w:iCs/>
          <w:kern w:val="0"/>
          <w:sz w:val="24"/>
          <w:szCs w:val="24"/>
        </w:rPr>
        <w:t>7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.</w:t>
      </w: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如果以联合课题组的形式申请课题，需要列明不同学校单位的课题任务。</w:t>
      </w:r>
    </w:p>
    <w:p w14:paraId="718D6ABD">
      <w:pPr>
        <w:widowControl/>
        <w:snapToGrid w:val="0"/>
        <w:spacing w:line="480" w:lineRule="exact"/>
        <w:ind w:firstLine="480" w:firstLineChars="200"/>
        <w:contextualSpacing/>
        <w:outlineLvl w:val="1"/>
        <w:rPr>
          <w:rFonts w:ascii="Times New Roman" w:hAnsi="Times New Roman" w:eastAsia="微软雅黑" w:cs="Times New Roman"/>
          <w:bCs/>
          <w:iCs/>
          <w:kern w:val="0"/>
          <w:sz w:val="28"/>
        </w:rPr>
      </w:pPr>
      <w:r>
        <w:rPr>
          <w:rFonts w:ascii="宋体" w:hAnsi="宋体" w:eastAsia="宋体" w:cs="Times New Roman"/>
          <w:bCs/>
          <w:iCs/>
          <w:kern w:val="0"/>
          <w:sz w:val="24"/>
          <w:szCs w:val="24"/>
        </w:rPr>
        <w:t>8</w:t>
      </w:r>
      <w:r>
        <w:rPr>
          <w:rFonts w:hint="eastAsia" w:ascii="宋体" w:hAnsi="宋体" w:eastAsia="宋体" w:cs="Times New Roman"/>
          <w:bCs/>
          <w:iCs/>
          <w:kern w:val="0"/>
          <w:sz w:val="24"/>
          <w:szCs w:val="24"/>
        </w:rPr>
        <w:t>.</w:t>
      </w:r>
      <w:r>
        <w:rPr>
          <w:rFonts w:ascii="宋体" w:hAnsi="宋体" w:eastAsia="宋体" w:cs="Times New Roman"/>
          <w:bCs/>
          <w:iCs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imes New Roman"/>
          <w:bCs/>
          <w:iCs/>
          <w:kern w:val="0"/>
          <w:sz w:val="24"/>
          <w:szCs w:val="24"/>
        </w:rPr>
        <w:t>课题申请人</w:t>
      </w:r>
      <w:bookmarkStart w:id="7" w:name="_GoBack"/>
      <w:bookmarkEnd w:id="7"/>
      <w:r>
        <w:rPr>
          <w:rFonts w:hint="eastAsia" w:ascii="宋体" w:hAnsi="宋体" w:eastAsia="宋体" w:cs="Times New Roman"/>
          <w:bCs/>
          <w:iCs/>
          <w:kern w:val="0"/>
          <w:sz w:val="24"/>
          <w:szCs w:val="24"/>
        </w:rPr>
        <w:t>无需向资助企业额外购买配套设备或软件。</w:t>
      </w:r>
    </w:p>
    <w:p w14:paraId="679BFC44">
      <w:pPr>
        <w:widowControl/>
        <w:snapToGrid w:val="0"/>
        <w:spacing w:line="480" w:lineRule="exact"/>
        <w:ind w:firstLine="562" w:firstLineChars="200"/>
        <w:outlineLvl w:val="1"/>
        <w:rPr>
          <w:rFonts w:ascii="Times New Roman" w:hAnsi="Times New Roman" w:eastAsia="微软雅黑" w:cs="Times New Roman"/>
          <w:b/>
          <w:bCs/>
          <w:iCs/>
          <w:color w:val="auto"/>
          <w:kern w:val="0"/>
          <w:sz w:val="28"/>
        </w:rPr>
      </w:pPr>
      <w:r>
        <w:rPr>
          <w:rFonts w:hint="eastAsia" w:ascii="Times New Roman" w:hAnsi="Times New Roman" w:eastAsia="微软雅黑" w:cs="Times New Roman"/>
          <w:b/>
          <w:bCs/>
          <w:iCs/>
          <w:color w:val="auto"/>
          <w:kern w:val="0"/>
          <w:sz w:val="28"/>
        </w:rPr>
        <w:t>五、联系人及联系方式</w:t>
      </w:r>
    </w:p>
    <w:p w14:paraId="4FC97571">
      <w:pPr>
        <w:widowControl/>
        <w:snapToGrid w:val="0"/>
        <w:spacing w:line="480" w:lineRule="exact"/>
        <w:ind w:firstLine="480" w:firstLineChars="200"/>
        <w:rPr>
          <w:rFonts w:ascii="宋体" w:hAnsi="宋体" w:eastAsia="宋体" w:cs="Times New Roman"/>
          <w:iCs/>
          <w:kern w:val="0"/>
          <w:sz w:val="24"/>
          <w:szCs w:val="24"/>
        </w:rPr>
      </w:pP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1.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教育部高等学校科学研究发展中心联系人：</w:t>
      </w:r>
    </w:p>
    <w:p w14:paraId="7EAB4E02">
      <w:pPr>
        <w:widowControl/>
        <w:snapToGrid w:val="0"/>
        <w:spacing w:line="480" w:lineRule="exact"/>
        <w:ind w:firstLine="480" w:firstLineChars="200"/>
        <w:rPr>
          <w:rFonts w:ascii="宋体" w:hAnsi="宋体" w:eastAsia="宋体" w:cs="Times New Roman"/>
          <w:i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 xml:space="preserve">张 </w:t>
      </w: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 xml:space="preserve">杰 </w:t>
      </w: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   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电话：010-62514689</w:t>
      </w:r>
    </w:p>
    <w:p w14:paraId="0CDCB165">
      <w:pPr>
        <w:widowControl/>
        <w:snapToGrid w:val="0"/>
        <w:spacing w:line="480" w:lineRule="exact"/>
        <w:ind w:firstLine="480" w:firstLineChars="200"/>
        <w:rPr>
          <w:rFonts w:ascii="宋体" w:hAnsi="宋体" w:eastAsia="宋体" w:cs="Times New Roman"/>
          <w:i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2</w:t>
      </w:r>
      <w:r>
        <w:rPr>
          <w:rFonts w:ascii="宋体" w:hAnsi="宋体" w:eastAsia="宋体" w:cs="Times New Roman"/>
          <w:iCs/>
          <w:kern w:val="0"/>
          <w:sz w:val="24"/>
          <w:szCs w:val="24"/>
        </w:rPr>
        <w:t xml:space="preserve">. </w:t>
      </w:r>
      <w:r>
        <w:rPr>
          <w:rFonts w:hint="eastAsia" w:ascii="宋体" w:hAnsi="宋体" w:eastAsia="宋体" w:cs="Times New Roman"/>
          <w:iCs/>
          <w:kern w:val="0"/>
          <w:sz w:val="24"/>
          <w:szCs w:val="24"/>
        </w:rPr>
        <w:t>企业联系人：</w:t>
      </w:r>
    </w:p>
    <w:tbl>
      <w:tblPr>
        <w:tblStyle w:val="9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993"/>
        <w:gridCol w:w="1843"/>
        <w:gridCol w:w="1701"/>
        <w:gridCol w:w="3119"/>
      </w:tblGrid>
      <w:tr w14:paraId="5833C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restart"/>
            <w:vAlign w:val="center"/>
          </w:tcPr>
          <w:p w14:paraId="04DF10DF">
            <w:pPr>
              <w:jc w:val="left"/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A</w:t>
            </w:r>
            <w:r>
              <w:rPr>
                <w:rFonts w:ascii="宋体" w:hAnsi="宋体" w:eastAsia="宋体" w:cs="Times New Roman"/>
                <w:iCs/>
                <w:kern w:val="0"/>
                <w:szCs w:val="21"/>
              </w:rPr>
              <w:t>01-A0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993" w:type="dxa"/>
            <w:vAlign w:val="center"/>
          </w:tcPr>
          <w:p w14:paraId="104B54E9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姓名</w:t>
            </w:r>
          </w:p>
        </w:tc>
        <w:tc>
          <w:tcPr>
            <w:tcW w:w="1843" w:type="dxa"/>
            <w:vAlign w:val="center"/>
          </w:tcPr>
          <w:p w14:paraId="290C97EF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负责区域</w:t>
            </w:r>
          </w:p>
        </w:tc>
        <w:tc>
          <w:tcPr>
            <w:tcW w:w="1701" w:type="dxa"/>
            <w:vAlign w:val="center"/>
          </w:tcPr>
          <w:p w14:paraId="7D916A5D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电话</w:t>
            </w:r>
          </w:p>
        </w:tc>
        <w:tc>
          <w:tcPr>
            <w:tcW w:w="3119" w:type="dxa"/>
            <w:vAlign w:val="center"/>
          </w:tcPr>
          <w:p w14:paraId="51FF2A0C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邮箱</w:t>
            </w:r>
          </w:p>
        </w:tc>
      </w:tr>
      <w:tr w14:paraId="52152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vAlign w:val="center"/>
          </w:tcPr>
          <w:p w14:paraId="51369E32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3DEF4BD">
            <w:pPr>
              <w:jc w:val="center"/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蔡赫</w:t>
            </w:r>
          </w:p>
        </w:tc>
        <w:tc>
          <w:tcPr>
            <w:tcW w:w="1843" w:type="dxa"/>
            <w:vAlign w:val="center"/>
          </w:tcPr>
          <w:p w14:paraId="2DD0D288">
            <w:pPr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华北：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黑龙江、吉林、辽宁、内蒙古、河北、天津</w:t>
            </w:r>
          </w:p>
        </w:tc>
        <w:tc>
          <w:tcPr>
            <w:tcW w:w="1701" w:type="dxa"/>
            <w:vAlign w:val="center"/>
          </w:tcPr>
          <w:p w14:paraId="3D173200">
            <w:pPr>
              <w:jc w:val="center"/>
              <w:rPr>
                <w:rFonts w:hint="default" w:ascii="宋体" w:hAnsi="宋体" w:eastAsia="宋体" w:cs="Times New Roman"/>
                <w:i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13810811420</w:t>
            </w:r>
          </w:p>
        </w:tc>
        <w:tc>
          <w:tcPr>
            <w:tcW w:w="3119" w:type="dxa"/>
            <w:vAlign w:val="center"/>
          </w:tcPr>
          <w:p w14:paraId="6640E9EB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caihe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@hygon.cn</w:t>
            </w:r>
          </w:p>
        </w:tc>
      </w:tr>
      <w:tr w14:paraId="1ED1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dxa"/>
            <w:vMerge w:val="continue"/>
            <w:vAlign w:val="center"/>
          </w:tcPr>
          <w:p w14:paraId="0DB4741E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D786753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刘双</w:t>
            </w:r>
          </w:p>
        </w:tc>
        <w:tc>
          <w:tcPr>
            <w:tcW w:w="1843" w:type="dxa"/>
            <w:vAlign w:val="center"/>
          </w:tcPr>
          <w:p w14:paraId="71D49B17">
            <w:pPr>
              <w:rPr>
                <w:rFonts w:hint="default" w:ascii="宋体" w:hAnsi="宋体" w:eastAsia="宋体" w:cs="Times New Roman"/>
                <w:i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华南：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福建、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广东、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江西、广西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海南</w:t>
            </w:r>
          </w:p>
        </w:tc>
        <w:tc>
          <w:tcPr>
            <w:tcW w:w="1701" w:type="dxa"/>
            <w:vAlign w:val="center"/>
          </w:tcPr>
          <w:p w14:paraId="03D9C719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13760163991</w:t>
            </w:r>
          </w:p>
        </w:tc>
        <w:tc>
          <w:tcPr>
            <w:tcW w:w="3119" w:type="dxa"/>
            <w:vAlign w:val="center"/>
          </w:tcPr>
          <w:p w14:paraId="7D15DE05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liushuangl@hygon.cn</w:t>
            </w:r>
          </w:p>
        </w:tc>
      </w:tr>
      <w:tr w14:paraId="72D6E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3" w:type="dxa"/>
            <w:vMerge w:val="continue"/>
            <w:vAlign w:val="center"/>
          </w:tcPr>
          <w:p w14:paraId="4F6BEEB9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56367B4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汤昊川</w:t>
            </w:r>
          </w:p>
        </w:tc>
        <w:tc>
          <w:tcPr>
            <w:tcW w:w="1843" w:type="dxa"/>
            <w:vAlign w:val="center"/>
          </w:tcPr>
          <w:p w14:paraId="07584B7A">
            <w:pPr>
              <w:rPr>
                <w:rFonts w:hint="default" w:ascii="宋体" w:hAnsi="宋体" w:eastAsia="宋体" w:cs="Times New Roman"/>
                <w:i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华中：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北京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山东、河南、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安徽、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湖北、湖南</w:t>
            </w:r>
          </w:p>
        </w:tc>
        <w:tc>
          <w:tcPr>
            <w:tcW w:w="1701" w:type="dxa"/>
            <w:vAlign w:val="center"/>
          </w:tcPr>
          <w:p w14:paraId="06490C96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18911021559</w:t>
            </w:r>
          </w:p>
        </w:tc>
        <w:tc>
          <w:tcPr>
            <w:tcW w:w="3119" w:type="dxa"/>
            <w:vAlign w:val="center"/>
          </w:tcPr>
          <w:p w14:paraId="0D53AD46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tanghaochuan@hygon.cn</w:t>
            </w:r>
          </w:p>
        </w:tc>
      </w:tr>
      <w:tr w14:paraId="169B2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3" w:type="dxa"/>
            <w:vMerge w:val="continue"/>
            <w:vAlign w:val="center"/>
          </w:tcPr>
          <w:p w14:paraId="219C0C53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ED8D261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易磊</w:t>
            </w:r>
          </w:p>
        </w:tc>
        <w:tc>
          <w:tcPr>
            <w:tcW w:w="1843" w:type="dxa"/>
            <w:vAlign w:val="center"/>
          </w:tcPr>
          <w:p w14:paraId="3E86499E">
            <w:pP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西北：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陕西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山西、宁夏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甘肃、青海、新疆</w:t>
            </w:r>
          </w:p>
        </w:tc>
        <w:tc>
          <w:tcPr>
            <w:tcW w:w="1701" w:type="dxa"/>
            <w:noWrap/>
            <w:vAlign w:val="center"/>
          </w:tcPr>
          <w:p w14:paraId="71626A95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18502986288</w:t>
            </w:r>
          </w:p>
        </w:tc>
        <w:tc>
          <w:tcPr>
            <w:tcW w:w="3119" w:type="dxa"/>
            <w:vAlign w:val="center"/>
          </w:tcPr>
          <w:p w14:paraId="4B8113A7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yilei@hygon.cn</w:t>
            </w:r>
          </w:p>
        </w:tc>
      </w:tr>
      <w:tr w14:paraId="42A3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3" w:type="dxa"/>
            <w:vMerge w:val="continue"/>
            <w:vAlign w:val="center"/>
          </w:tcPr>
          <w:p w14:paraId="27B762A5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6DDD468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陈菲菲</w:t>
            </w:r>
          </w:p>
        </w:tc>
        <w:tc>
          <w:tcPr>
            <w:tcW w:w="1843" w:type="dxa"/>
            <w:vAlign w:val="center"/>
          </w:tcPr>
          <w:p w14:paraId="294C6A49">
            <w:pPr>
              <w:rPr>
                <w:rFonts w:hint="default" w:ascii="宋体" w:hAnsi="宋体" w:eastAsia="宋体" w:cs="Times New Roman"/>
                <w:i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华东：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上海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江苏、浙江</w:t>
            </w:r>
          </w:p>
        </w:tc>
        <w:tc>
          <w:tcPr>
            <w:tcW w:w="1701" w:type="dxa"/>
            <w:noWrap/>
            <w:vAlign w:val="center"/>
          </w:tcPr>
          <w:p w14:paraId="362D67E4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18616889977</w:t>
            </w:r>
          </w:p>
        </w:tc>
        <w:tc>
          <w:tcPr>
            <w:tcW w:w="3119" w:type="dxa"/>
            <w:vAlign w:val="center"/>
          </w:tcPr>
          <w:p w14:paraId="1F7111B8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chenfeifei@hygon.cn</w:t>
            </w:r>
          </w:p>
        </w:tc>
      </w:tr>
      <w:tr w14:paraId="63542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3" w:type="dxa"/>
            <w:vMerge w:val="continue"/>
            <w:vAlign w:val="center"/>
          </w:tcPr>
          <w:p w14:paraId="0EE409D8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0944703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邓小梅</w:t>
            </w:r>
          </w:p>
        </w:tc>
        <w:tc>
          <w:tcPr>
            <w:tcW w:w="1843" w:type="dxa"/>
            <w:vAlign w:val="center"/>
          </w:tcPr>
          <w:p w14:paraId="28CF8522">
            <w:pP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西南：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四川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贵州、云南、西藏、重庆</w:t>
            </w:r>
          </w:p>
        </w:tc>
        <w:tc>
          <w:tcPr>
            <w:tcW w:w="1701" w:type="dxa"/>
            <w:noWrap/>
            <w:vAlign w:val="center"/>
          </w:tcPr>
          <w:p w14:paraId="6BE99F4D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18780292009</w:t>
            </w:r>
          </w:p>
        </w:tc>
        <w:tc>
          <w:tcPr>
            <w:tcW w:w="3119" w:type="dxa"/>
            <w:vAlign w:val="center"/>
          </w:tcPr>
          <w:p w14:paraId="5B45C7F4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dengxiaomei@hygon.cn</w:t>
            </w:r>
          </w:p>
        </w:tc>
      </w:tr>
      <w:tr w14:paraId="5259C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3" w:type="dxa"/>
            <w:vAlign w:val="center"/>
          </w:tcPr>
          <w:p w14:paraId="6A1F0DAF">
            <w:pPr>
              <w:jc w:val="left"/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A</w:t>
            </w:r>
            <w:r>
              <w:rPr>
                <w:rFonts w:ascii="宋体" w:hAnsi="宋体" w:eastAsia="宋体" w:cs="Times New Roman"/>
                <w:iCs/>
                <w:kern w:val="0"/>
                <w:szCs w:val="21"/>
              </w:rPr>
              <w:t>10-A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2880C315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 xml:space="preserve">张 </w:t>
            </w:r>
            <w:r>
              <w:rPr>
                <w:rFonts w:ascii="宋体" w:hAnsi="宋体" w:eastAsia="宋体" w:cs="Times New Roman"/>
                <w:iCs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鹏</w:t>
            </w:r>
          </w:p>
        </w:tc>
        <w:tc>
          <w:tcPr>
            <w:tcW w:w="1843" w:type="dxa"/>
            <w:noWrap/>
            <w:vAlign w:val="center"/>
          </w:tcPr>
          <w:p w14:paraId="1E317F5F">
            <w:pPr>
              <w:ind w:firstLine="210" w:firstLineChars="100"/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  <w:lang w:eastAsia="zh-CN"/>
              </w:rPr>
              <w:t>全国</w:t>
            </w:r>
          </w:p>
        </w:tc>
        <w:tc>
          <w:tcPr>
            <w:tcW w:w="1701" w:type="dxa"/>
            <w:noWrap/>
            <w:vAlign w:val="center"/>
          </w:tcPr>
          <w:p w14:paraId="564BC729">
            <w:pPr>
              <w:jc w:val="center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13521477734</w:t>
            </w:r>
          </w:p>
        </w:tc>
        <w:tc>
          <w:tcPr>
            <w:tcW w:w="3119" w:type="dxa"/>
            <w:vAlign w:val="center"/>
          </w:tcPr>
          <w:p w14:paraId="1CA32C18">
            <w:pPr>
              <w:jc w:val="left"/>
              <w:rPr>
                <w:rFonts w:ascii="宋体" w:hAnsi="宋体" w:eastAsia="宋体" w:cs="Times New Roman"/>
                <w:i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"mailto:zhishizp@163.com" </w:instrText>
            </w:r>
            <w:r>
              <w:fldChar w:fldCharType="separate"/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t>zhishizp@163.com</w:t>
            </w:r>
            <w:r>
              <w:rPr>
                <w:rFonts w:hint="eastAsia" w:ascii="宋体" w:hAnsi="宋体" w:eastAsia="宋体" w:cs="Times New Roman"/>
                <w:iCs/>
                <w:kern w:val="0"/>
                <w:szCs w:val="21"/>
              </w:rPr>
              <w:fldChar w:fldCharType="end"/>
            </w:r>
          </w:p>
        </w:tc>
      </w:tr>
    </w:tbl>
    <w:p w14:paraId="2B859529">
      <w:pPr>
        <w:widowControl/>
        <w:snapToGrid w:val="0"/>
        <w:spacing w:line="480" w:lineRule="exact"/>
        <w:rPr>
          <w:rFonts w:ascii="宋体" w:hAnsi="宋体" w:eastAsia="宋体" w:cs="Times New Roman"/>
          <w:iCs/>
          <w:kern w:val="0"/>
          <w:sz w:val="24"/>
          <w:szCs w:val="24"/>
        </w:rPr>
      </w:pP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1803" w:usb2="00000009" w:usb3="00000000" w:csb0="6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Times New Roma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ingFang SC">
    <w:altName w:val="思源黑体"/>
    <w:panose1 w:val="020B0400000000000000"/>
    <w:charset w:val="86"/>
    <w:family w:val="roman"/>
    <w:pitch w:val="default"/>
    <w:sig w:usb0="00000000" w:usb1="00000000" w:usb2="00000017" w:usb3="00000000" w:csb0="00040001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xZGU1Y2Q2MjAxNTFhZWViYmJiZWI1NjQ5NGUxNDQifQ=="/>
  </w:docVars>
  <w:rsids>
    <w:rsidRoot w:val="00F0396D"/>
    <w:rsid w:val="00014794"/>
    <w:rsid w:val="00023CC7"/>
    <w:rsid w:val="00033A10"/>
    <w:rsid w:val="00034BF0"/>
    <w:rsid w:val="000438EF"/>
    <w:rsid w:val="0006541B"/>
    <w:rsid w:val="0007080C"/>
    <w:rsid w:val="0008495F"/>
    <w:rsid w:val="000A3BFC"/>
    <w:rsid w:val="000B1740"/>
    <w:rsid w:val="000B6F9E"/>
    <w:rsid w:val="000D2C57"/>
    <w:rsid w:val="000D455A"/>
    <w:rsid w:val="000F56CD"/>
    <w:rsid w:val="000F5D41"/>
    <w:rsid w:val="0010037F"/>
    <w:rsid w:val="00104FB0"/>
    <w:rsid w:val="00105780"/>
    <w:rsid w:val="00111BE4"/>
    <w:rsid w:val="00124850"/>
    <w:rsid w:val="00126336"/>
    <w:rsid w:val="00131E29"/>
    <w:rsid w:val="00132F7A"/>
    <w:rsid w:val="00135804"/>
    <w:rsid w:val="00140167"/>
    <w:rsid w:val="00146B21"/>
    <w:rsid w:val="00152620"/>
    <w:rsid w:val="00155021"/>
    <w:rsid w:val="00171A36"/>
    <w:rsid w:val="00180B0D"/>
    <w:rsid w:val="0019106D"/>
    <w:rsid w:val="001A7757"/>
    <w:rsid w:val="001B00DA"/>
    <w:rsid w:val="001B6DF4"/>
    <w:rsid w:val="001B78AF"/>
    <w:rsid w:val="001D0F9D"/>
    <w:rsid w:val="001E3499"/>
    <w:rsid w:val="001F18C2"/>
    <w:rsid w:val="001F2F34"/>
    <w:rsid w:val="001F6938"/>
    <w:rsid w:val="00212123"/>
    <w:rsid w:val="002355A2"/>
    <w:rsid w:val="00237CBF"/>
    <w:rsid w:val="002571DA"/>
    <w:rsid w:val="00260180"/>
    <w:rsid w:val="002706E9"/>
    <w:rsid w:val="0028297B"/>
    <w:rsid w:val="00282F6D"/>
    <w:rsid w:val="00283569"/>
    <w:rsid w:val="00285E49"/>
    <w:rsid w:val="002B3531"/>
    <w:rsid w:val="002B396D"/>
    <w:rsid w:val="002E6EE6"/>
    <w:rsid w:val="002F1E22"/>
    <w:rsid w:val="003035F9"/>
    <w:rsid w:val="00310743"/>
    <w:rsid w:val="00332181"/>
    <w:rsid w:val="00345D53"/>
    <w:rsid w:val="00346E4F"/>
    <w:rsid w:val="00346FFF"/>
    <w:rsid w:val="00357700"/>
    <w:rsid w:val="00373151"/>
    <w:rsid w:val="0038290A"/>
    <w:rsid w:val="00392FFF"/>
    <w:rsid w:val="00393FC3"/>
    <w:rsid w:val="003942E3"/>
    <w:rsid w:val="00396292"/>
    <w:rsid w:val="003D54C3"/>
    <w:rsid w:val="003E2F16"/>
    <w:rsid w:val="003F417C"/>
    <w:rsid w:val="003F64BA"/>
    <w:rsid w:val="003F6E7A"/>
    <w:rsid w:val="00411ED5"/>
    <w:rsid w:val="00426CAC"/>
    <w:rsid w:val="0043237D"/>
    <w:rsid w:val="004377C8"/>
    <w:rsid w:val="00442811"/>
    <w:rsid w:val="004429B4"/>
    <w:rsid w:val="00446E1C"/>
    <w:rsid w:val="00452EAD"/>
    <w:rsid w:val="00455B0A"/>
    <w:rsid w:val="00460D3B"/>
    <w:rsid w:val="0048107D"/>
    <w:rsid w:val="00491B35"/>
    <w:rsid w:val="004A705E"/>
    <w:rsid w:val="004A7BFD"/>
    <w:rsid w:val="004B4150"/>
    <w:rsid w:val="004B6FD5"/>
    <w:rsid w:val="004C0719"/>
    <w:rsid w:val="004C311C"/>
    <w:rsid w:val="004C4717"/>
    <w:rsid w:val="004D207F"/>
    <w:rsid w:val="004F0429"/>
    <w:rsid w:val="00505592"/>
    <w:rsid w:val="00513359"/>
    <w:rsid w:val="00537C67"/>
    <w:rsid w:val="0056244F"/>
    <w:rsid w:val="0056455C"/>
    <w:rsid w:val="00570DE8"/>
    <w:rsid w:val="0059669C"/>
    <w:rsid w:val="005E053A"/>
    <w:rsid w:val="005F6FBA"/>
    <w:rsid w:val="00606261"/>
    <w:rsid w:val="006255DB"/>
    <w:rsid w:val="00626BD4"/>
    <w:rsid w:val="006538E6"/>
    <w:rsid w:val="006559F7"/>
    <w:rsid w:val="00660386"/>
    <w:rsid w:val="0066252B"/>
    <w:rsid w:val="00665654"/>
    <w:rsid w:val="00687246"/>
    <w:rsid w:val="00690188"/>
    <w:rsid w:val="006A10BB"/>
    <w:rsid w:val="006A2A4D"/>
    <w:rsid w:val="006A78CB"/>
    <w:rsid w:val="006B2EA9"/>
    <w:rsid w:val="006D0E89"/>
    <w:rsid w:val="006D3328"/>
    <w:rsid w:val="006D77C4"/>
    <w:rsid w:val="006E2BB6"/>
    <w:rsid w:val="006F0F5B"/>
    <w:rsid w:val="006F3C02"/>
    <w:rsid w:val="00706908"/>
    <w:rsid w:val="007337A7"/>
    <w:rsid w:val="00740F5F"/>
    <w:rsid w:val="0075053D"/>
    <w:rsid w:val="00772DFA"/>
    <w:rsid w:val="00780437"/>
    <w:rsid w:val="00783C0C"/>
    <w:rsid w:val="007A192E"/>
    <w:rsid w:val="007B33B0"/>
    <w:rsid w:val="007C4708"/>
    <w:rsid w:val="007C486D"/>
    <w:rsid w:val="007D260F"/>
    <w:rsid w:val="007E1B54"/>
    <w:rsid w:val="007E2284"/>
    <w:rsid w:val="007E29F7"/>
    <w:rsid w:val="007E6180"/>
    <w:rsid w:val="007E6ECC"/>
    <w:rsid w:val="007F642F"/>
    <w:rsid w:val="00804122"/>
    <w:rsid w:val="008241CB"/>
    <w:rsid w:val="00825954"/>
    <w:rsid w:val="00837051"/>
    <w:rsid w:val="00850E95"/>
    <w:rsid w:val="0085351B"/>
    <w:rsid w:val="00853861"/>
    <w:rsid w:val="00854A56"/>
    <w:rsid w:val="00856F2F"/>
    <w:rsid w:val="00863709"/>
    <w:rsid w:val="00874458"/>
    <w:rsid w:val="00890BA8"/>
    <w:rsid w:val="008A1E8E"/>
    <w:rsid w:val="008A44DF"/>
    <w:rsid w:val="008B5612"/>
    <w:rsid w:val="008C4EFD"/>
    <w:rsid w:val="008D6935"/>
    <w:rsid w:val="008E02EC"/>
    <w:rsid w:val="008E050E"/>
    <w:rsid w:val="008F720E"/>
    <w:rsid w:val="00901CE8"/>
    <w:rsid w:val="00902853"/>
    <w:rsid w:val="00911833"/>
    <w:rsid w:val="0091432A"/>
    <w:rsid w:val="0091627E"/>
    <w:rsid w:val="00945AEE"/>
    <w:rsid w:val="009645E4"/>
    <w:rsid w:val="00965358"/>
    <w:rsid w:val="00970793"/>
    <w:rsid w:val="009744B0"/>
    <w:rsid w:val="0099213A"/>
    <w:rsid w:val="009B3154"/>
    <w:rsid w:val="009D0023"/>
    <w:rsid w:val="009D205E"/>
    <w:rsid w:val="009D4299"/>
    <w:rsid w:val="009F4EEB"/>
    <w:rsid w:val="00A03B93"/>
    <w:rsid w:val="00A11D90"/>
    <w:rsid w:val="00A25637"/>
    <w:rsid w:val="00A27B3A"/>
    <w:rsid w:val="00A41A50"/>
    <w:rsid w:val="00A427A8"/>
    <w:rsid w:val="00A4287C"/>
    <w:rsid w:val="00A6596B"/>
    <w:rsid w:val="00A841CE"/>
    <w:rsid w:val="00A87E5D"/>
    <w:rsid w:val="00A90059"/>
    <w:rsid w:val="00A92989"/>
    <w:rsid w:val="00AA12EC"/>
    <w:rsid w:val="00AA7FD3"/>
    <w:rsid w:val="00AB5DBA"/>
    <w:rsid w:val="00AB6553"/>
    <w:rsid w:val="00AB7764"/>
    <w:rsid w:val="00AC506C"/>
    <w:rsid w:val="00AD17BD"/>
    <w:rsid w:val="00AD5A33"/>
    <w:rsid w:val="00AE5444"/>
    <w:rsid w:val="00B11D0E"/>
    <w:rsid w:val="00B324DE"/>
    <w:rsid w:val="00B35B0B"/>
    <w:rsid w:val="00B37D34"/>
    <w:rsid w:val="00B45C51"/>
    <w:rsid w:val="00B467EE"/>
    <w:rsid w:val="00B854C2"/>
    <w:rsid w:val="00B867DB"/>
    <w:rsid w:val="00BA0D12"/>
    <w:rsid w:val="00BA1518"/>
    <w:rsid w:val="00BA1CD5"/>
    <w:rsid w:val="00BB5921"/>
    <w:rsid w:val="00BD0F70"/>
    <w:rsid w:val="00BD2F74"/>
    <w:rsid w:val="00BD3501"/>
    <w:rsid w:val="00BE0EBA"/>
    <w:rsid w:val="00BE27C9"/>
    <w:rsid w:val="00BE2F0C"/>
    <w:rsid w:val="00BF0A0B"/>
    <w:rsid w:val="00C018D6"/>
    <w:rsid w:val="00C10E1F"/>
    <w:rsid w:val="00C171F6"/>
    <w:rsid w:val="00C206FC"/>
    <w:rsid w:val="00C52C58"/>
    <w:rsid w:val="00C535CD"/>
    <w:rsid w:val="00C5485E"/>
    <w:rsid w:val="00C73C22"/>
    <w:rsid w:val="00C83CAC"/>
    <w:rsid w:val="00C971B2"/>
    <w:rsid w:val="00CA6BA8"/>
    <w:rsid w:val="00CB353C"/>
    <w:rsid w:val="00CB76CC"/>
    <w:rsid w:val="00CC423B"/>
    <w:rsid w:val="00CD5D0D"/>
    <w:rsid w:val="00CE296B"/>
    <w:rsid w:val="00CE7D34"/>
    <w:rsid w:val="00CF2B17"/>
    <w:rsid w:val="00D10631"/>
    <w:rsid w:val="00D25157"/>
    <w:rsid w:val="00D3003D"/>
    <w:rsid w:val="00D33467"/>
    <w:rsid w:val="00D33E06"/>
    <w:rsid w:val="00D5016F"/>
    <w:rsid w:val="00D63577"/>
    <w:rsid w:val="00D66275"/>
    <w:rsid w:val="00D86108"/>
    <w:rsid w:val="00D953EC"/>
    <w:rsid w:val="00DA33D9"/>
    <w:rsid w:val="00DA670D"/>
    <w:rsid w:val="00DC19CB"/>
    <w:rsid w:val="00DD0AAE"/>
    <w:rsid w:val="00DD0F35"/>
    <w:rsid w:val="00DE7EA5"/>
    <w:rsid w:val="00DF1690"/>
    <w:rsid w:val="00DF3269"/>
    <w:rsid w:val="00E14213"/>
    <w:rsid w:val="00E20483"/>
    <w:rsid w:val="00E25A02"/>
    <w:rsid w:val="00E446B8"/>
    <w:rsid w:val="00E462B0"/>
    <w:rsid w:val="00E4680A"/>
    <w:rsid w:val="00E51E82"/>
    <w:rsid w:val="00E53080"/>
    <w:rsid w:val="00E57255"/>
    <w:rsid w:val="00E76D74"/>
    <w:rsid w:val="00E80FD7"/>
    <w:rsid w:val="00E819F4"/>
    <w:rsid w:val="00EA3744"/>
    <w:rsid w:val="00EB2DD5"/>
    <w:rsid w:val="00EB3BCD"/>
    <w:rsid w:val="00EB447C"/>
    <w:rsid w:val="00EC3AB0"/>
    <w:rsid w:val="00ED07D2"/>
    <w:rsid w:val="00ED7C3B"/>
    <w:rsid w:val="00ED7F40"/>
    <w:rsid w:val="00EE275C"/>
    <w:rsid w:val="00EE2DA4"/>
    <w:rsid w:val="00EE4C59"/>
    <w:rsid w:val="00EF0D1B"/>
    <w:rsid w:val="00EF3D2C"/>
    <w:rsid w:val="00F0396D"/>
    <w:rsid w:val="00F355CC"/>
    <w:rsid w:val="00F41198"/>
    <w:rsid w:val="00F41F30"/>
    <w:rsid w:val="00F42C28"/>
    <w:rsid w:val="00F50ABB"/>
    <w:rsid w:val="00F80BEC"/>
    <w:rsid w:val="00F81D5C"/>
    <w:rsid w:val="00F837E7"/>
    <w:rsid w:val="00F873E4"/>
    <w:rsid w:val="00F920D4"/>
    <w:rsid w:val="00FB5E30"/>
    <w:rsid w:val="00FC13E4"/>
    <w:rsid w:val="00FD3E68"/>
    <w:rsid w:val="00FD5CFB"/>
    <w:rsid w:val="00FE1AFF"/>
    <w:rsid w:val="00FE61E8"/>
    <w:rsid w:val="01D152A8"/>
    <w:rsid w:val="02225B04"/>
    <w:rsid w:val="031A5CD5"/>
    <w:rsid w:val="04F35535"/>
    <w:rsid w:val="059E7159"/>
    <w:rsid w:val="07397B77"/>
    <w:rsid w:val="076B3AA9"/>
    <w:rsid w:val="09145975"/>
    <w:rsid w:val="091A7535"/>
    <w:rsid w:val="09547B93"/>
    <w:rsid w:val="09D41DD9"/>
    <w:rsid w:val="0BCB7594"/>
    <w:rsid w:val="0CFB58CF"/>
    <w:rsid w:val="0D8256A8"/>
    <w:rsid w:val="0E5E6115"/>
    <w:rsid w:val="10653607"/>
    <w:rsid w:val="10A5002C"/>
    <w:rsid w:val="11561DCA"/>
    <w:rsid w:val="11A16A45"/>
    <w:rsid w:val="1582093B"/>
    <w:rsid w:val="16302145"/>
    <w:rsid w:val="170E6162"/>
    <w:rsid w:val="186366A3"/>
    <w:rsid w:val="1A1D0C33"/>
    <w:rsid w:val="1ABC669E"/>
    <w:rsid w:val="1C9D24FF"/>
    <w:rsid w:val="1D954F84"/>
    <w:rsid w:val="1E271B49"/>
    <w:rsid w:val="1E401394"/>
    <w:rsid w:val="1F5A6485"/>
    <w:rsid w:val="215D400B"/>
    <w:rsid w:val="22C72083"/>
    <w:rsid w:val="23BF0FAD"/>
    <w:rsid w:val="24207C9D"/>
    <w:rsid w:val="24C52C5B"/>
    <w:rsid w:val="25F166E0"/>
    <w:rsid w:val="263E08AF"/>
    <w:rsid w:val="27FC632B"/>
    <w:rsid w:val="292336A7"/>
    <w:rsid w:val="2BB92785"/>
    <w:rsid w:val="2BC90C1A"/>
    <w:rsid w:val="2D412A32"/>
    <w:rsid w:val="2E786928"/>
    <w:rsid w:val="2F522CD5"/>
    <w:rsid w:val="2F546A4D"/>
    <w:rsid w:val="2F601896"/>
    <w:rsid w:val="30E958BB"/>
    <w:rsid w:val="32A0644D"/>
    <w:rsid w:val="331F7372"/>
    <w:rsid w:val="33CA3782"/>
    <w:rsid w:val="33E222C5"/>
    <w:rsid w:val="34C401D1"/>
    <w:rsid w:val="34DF500B"/>
    <w:rsid w:val="34E22D4D"/>
    <w:rsid w:val="35696FCA"/>
    <w:rsid w:val="38514471"/>
    <w:rsid w:val="38547C0B"/>
    <w:rsid w:val="387B16EE"/>
    <w:rsid w:val="38D97FC3"/>
    <w:rsid w:val="39477622"/>
    <w:rsid w:val="39CE564E"/>
    <w:rsid w:val="3B2A0FAA"/>
    <w:rsid w:val="3B8C3A12"/>
    <w:rsid w:val="3DC72AE0"/>
    <w:rsid w:val="3E467EA9"/>
    <w:rsid w:val="3EFB46E2"/>
    <w:rsid w:val="3F216DFA"/>
    <w:rsid w:val="3F9966FE"/>
    <w:rsid w:val="413606A8"/>
    <w:rsid w:val="41FD11C6"/>
    <w:rsid w:val="42F73E67"/>
    <w:rsid w:val="432D1637"/>
    <w:rsid w:val="434A043B"/>
    <w:rsid w:val="44DF112E"/>
    <w:rsid w:val="455410FD"/>
    <w:rsid w:val="464C0026"/>
    <w:rsid w:val="46D87B0C"/>
    <w:rsid w:val="46E464B1"/>
    <w:rsid w:val="47305B9A"/>
    <w:rsid w:val="47332F94"/>
    <w:rsid w:val="47A143A2"/>
    <w:rsid w:val="48256D81"/>
    <w:rsid w:val="49366D6C"/>
    <w:rsid w:val="4970227E"/>
    <w:rsid w:val="4AA5332D"/>
    <w:rsid w:val="4B166E55"/>
    <w:rsid w:val="4B86222C"/>
    <w:rsid w:val="4C2548E4"/>
    <w:rsid w:val="4D765FA3"/>
    <w:rsid w:val="4F0D06D8"/>
    <w:rsid w:val="4F820F5D"/>
    <w:rsid w:val="4FD55530"/>
    <w:rsid w:val="502142D2"/>
    <w:rsid w:val="521D4F6D"/>
    <w:rsid w:val="52D01FDF"/>
    <w:rsid w:val="53746E0E"/>
    <w:rsid w:val="543D36A4"/>
    <w:rsid w:val="550146D2"/>
    <w:rsid w:val="55545149"/>
    <w:rsid w:val="56301712"/>
    <w:rsid w:val="569D042A"/>
    <w:rsid w:val="56A60FEC"/>
    <w:rsid w:val="56CB4F97"/>
    <w:rsid w:val="56DC71A4"/>
    <w:rsid w:val="58BF1544"/>
    <w:rsid w:val="59D93E6F"/>
    <w:rsid w:val="59E7658C"/>
    <w:rsid w:val="5A1A070F"/>
    <w:rsid w:val="5C7659A5"/>
    <w:rsid w:val="5C9C1C7E"/>
    <w:rsid w:val="5CD56B70"/>
    <w:rsid w:val="5D810AA5"/>
    <w:rsid w:val="5E761C8C"/>
    <w:rsid w:val="5FDB26EF"/>
    <w:rsid w:val="61E138C1"/>
    <w:rsid w:val="62157A0E"/>
    <w:rsid w:val="62DE0B80"/>
    <w:rsid w:val="63247F09"/>
    <w:rsid w:val="6461518D"/>
    <w:rsid w:val="647A1DAB"/>
    <w:rsid w:val="64BD0615"/>
    <w:rsid w:val="65501489"/>
    <w:rsid w:val="657B48C7"/>
    <w:rsid w:val="673F75F8"/>
    <w:rsid w:val="68294213"/>
    <w:rsid w:val="682B3AE8"/>
    <w:rsid w:val="68A85138"/>
    <w:rsid w:val="695B2FBA"/>
    <w:rsid w:val="6A5135AE"/>
    <w:rsid w:val="6A6B28C1"/>
    <w:rsid w:val="6ABC4ECB"/>
    <w:rsid w:val="6B715CB5"/>
    <w:rsid w:val="6BEA5A68"/>
    <w:rsid w:val="6D146061"/>
    <w:rsid w:val="6D885538"/>
    <w:rsid w:val="6DA02882"/>
    <w:rsid w:val="6DB36A59"/>
    <w:rsid w:val="6DB427D1"/>
    <w:rsid w:val="6E9A19C7"/>
    <w:rsid w:val="6EE60768"/>
    <w:rsid w:val="6FE78BFE"/>
    <w:rsid w:val="71105F71"/>
    <w:rsid w:val="71145A61"/>
    <w:rsid w:val="715A71EC"/>
    <w:rsid w:val="720C351F"/>
    <w:rsid w:val="727918F3"/>
    <w:rsid w:val="7328014A"/>
    <w:rsid w:val="73814F04"/>
    <w:rsid w:val="75CE68EA"/>
    <w:rsid w:val="7703315F"/>
    <w:rsid w:val="77D93560"/>
    <w:rsid w:val="78591FAB"/>
    <w:rsid w:val="78915BE9"/>
    <w:rsid w:val="793547C6"/>
    <w:rsid w:val="79667075"/>
    <w:rsid w:val="79AC25AE"/>
    <w:rsid w:val="79BA4CCB"/>
    <w:rsid w:val="79DE4E5E"/>
    <w:rsid w:val="7A886B78"/>
    <w:rsid w:val="7AF81F4F"/>
    <w:rsid w:val="7CA81753"/>
    <w:rsid w:val="7E156138"/>
    <w:rsid w:val="7FBF20A2"/>
    <w:rsid w:val="7FFBAB35"/>
    <w:rsid w:val="E5EBD055"/>
    <w:rsid w:val="E6DF13A9"/>
    <w:rsid w:val="E7AF25DB"/>
    <w:rsid w:val="E8F97955"/>
    <w:rsid w:val="F0F33375"/>
    <w:rsid w:val="F749ABAC"/>
    <w:rsid w:val="F7FE3CB0"/>
    <w:rsid w:val="F9FD753F"/>
    <w:rsid w:val="FA6F433E"/>
    <w:rsid w:val="FD7D7949"/>
    <w:rsid w:val="FD9D74A7"/>
    <w:rsid w:val="FDFDE66C"/>
    <w:rsid w:val="FDFE2B39"/>
    <w:rsid w:val="FDFF8B4B"/>
    <w:rsid w:val="FE3D26E9"/>
    <w:rsid w:val="FEFFDE08"/>
    <w:rsid w:val="FF5FD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unhideWhenUsed/>
    <w:qFormat/>
    <w:uiPriority w:val="99"/>
    <w:pPr>
      <w:jc w:val="left"/>
    </w:p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4"/>
    <w:qFormat/>
    <w:uiPriority w:val="99"/>
    <w:rPr>
      <w:sz w:val="18"/>
      <w:szCs w:val="18"/>
    </w:rPr>
  </w:style>
  <w:style w:type="paragraph" w:styleId="1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文字 字符"/>
    <w:basedOn w:val="10"/>
    <w:link w:val="2"/>
    <w:qFormat/>
    <w:uiPriority w:val="99"/>
  </w:style>
  <w:style w:type="character" w:customStyle="1" w:styleId="18">
    <w:name w:val="批注主题 字符"/>
    <w:basedOn w:val="17"/>
    <w:link w:val="7"/>
    <w:semiHidden/>
    <w:qFormat/>
    <w:uiPriority w:val="99"/>
    <w:rPr>
      <w:b/>
      <w:bCs/>
    </w:rPr>
  </w:style>
  <w:style w:type="character" w:customStyle="1" w:styleId="19">
    <w:name w:val="批注框文本 字符"/>
    <w:basedOn w:val="10"/>
    <w:link w:val="3"/>
    <w:semiHidden/>
    <w:qFormat/>
    <w:uiPriority w:val="99"/>
    <w:rPr>
      <w:sz w:val="18"/>
      <w:szCs w:val="18"/>
    </w:rPr>
  </w:style>
  <w:style w:type="paragraph" w:customStyle="1" w:styleId="2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2">
    <w:name w:val="p1"/>
    <w:basedOn w:val="1"/>
    <w:qFormat/>
    <w:uiPriority w:val="0"/>
    <w:pPr>
      <w:jc w:val="left"/>
    </w:pPr>
    <w:rPr>
      <w:rFonts w:ascii="PingFang SC" w:hAnsi="PingFang SC" w:eastAsia="PingFang SC" w:cs="Times New Roman"/>
      <w:kern w:val="0"/>
      <w:sz w:val="26"/>
      <w:szCs w:val="26"/>
    </w:rPr>
  </w:style>
  <w:style w:type="paragraph" w:customStyle="1" w:styleId="23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修订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修订5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qk-md-text"/>
    <w:basedOn w:val="10"/>
    <w:qFormat/>
    <w:uiPriority w:val="0"/>
  </w:style>
  <w:style w:type="paragraph" w:customStyle="1" w:styleId="28">
    <w:name w:val="修订6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8BE80E05-42A0-44A5-96CF-97F44B9E4B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891</Words>
  <Characters>5082</Characters>
  <Lines>42</Lines>
  <Paragraphs>11</Paragraphs>
  <TotalTime>20</TotalTime>
  <ScaleCrop>false</ScaleCrop>
  <LinksUpToDate>false</LinksUpToDate>
  <CharactersWithSpaces>5962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2026-09-16T04:35:00Z</dcterms:created>
  <dc:creator>Songlin Liu (刘松林)-浪潮数字企业</dc:creator>
  <cp:lastModifiedBy>肖庆赛</cp:lastModifiedBy>
  <dcterms:modified xsi:type="dcterms:W3CDTF">2026-09-18T11:14:26Z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AE2CF8A669DB47D5BFEF8F12F456C863_13</vt:lpwstr>
  </property>
  <property fmtid="{D5CDD505-2E9C-101B-9397-08002B2CF9AE}" pid="4" name="KSOTemplateDocerSaveRecord">
    <vt:lpwstr>eyJoZGlkIjoiM2YwNGZhNTA3MTBkYTlhMGNjNDE3Y2Q2NDJiNGJiZjciLCJ1c2VySWQiOiI0MDk3NjI0NjMifQ==</vt:lpwstr>
  </property>
</Properties>
</file>