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40"/>
        <w:rPr>
          <w:rFonts w:ascii="仿宋_GB2312" w:hAnsi="Calibri" w:eastAsia="仿宋_GB2312" w:cs="Times New Roman"/>
          <w:spacing w:val="-10"/>
          <w:sz w:val="30"/>
          <w:szCs w:val="30"/>
        </w:rPr>
      </w:pPr>
      <w:r>
        <w:rPr>
          <w:rFonts w:hint="eastAsia" w:ascii="仿宋_GB2312" w:hAnsi="Calibri" w:eastAsia="仿宋_GB2312" w:cs="Times New Roman"/>
          <w:spacing w:val="-10"/>
          <w:sz w:val="30"/>
          <w:szCs w:val="30"/>
        </w:rPr>
        <w:t xml:space="preserve">附 1                   </w:t>
      </w:r>
      <w:bookmarkStart w:id="0" w:name="_GoBack"/>
      <w:r>
        <w:rPr>
          <w:rFonts w:hint="eastAsia" w:ascii="创艺简标宋" w:hAnsi="宋体" w:eastAsia="创艺简标宋" w:cs="宋体"/>
          <w:b/>
          <w:bCs/>
          <w:color w:val="000000"/>
          <w:kern w:val="36"/>
          <w:sz w:val="36"/>
          <w:szCs w:val="36"/>
        </w:rPr>
        <w:t>2019年度温州市龙湾区决策咨询研究课题目录</w:t>
      </w:r>
      <w:bookmarkEnd w:id="0"/>
    </w:p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93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课题名称</w:t>
            </w:r>
          </w:p>
        </w:tc>
        <w:tc>
          <w:tcPr>
            <w:tcW w:w="960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选题考虑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培育壮大激光与光电产业集群的对策研究</w:t>
            </w:r>
          </w:p>
        </w:tc>
        <w:tc>
          <w:tcPr>
            <w:tcW w:w="9606" w:type="dxa"/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对照国家自主创新示范区的标准，当前温州的激光与光电产业仍面临诸多问题。如何做优做强</w:t>
            </w:r>
            <w:r>
              <w:rPr>
                <w:rFonts w:ascii="仿宋_GB2312" w:eastAsia="仿宋_GB2312"/>
                <w:szCs w:val="21"/>
              </w:rPr>
              <w:t>激光和光电为核心的智能装备</w:t>
            </w:r>
            <w:r>
              <w:rPr>
                <w:rFonts w:hint="eastAsia" w:ascii="仿宋_GB2312" w:eastAsia="仿宋_GB2312"/>
                <w:szCs w:val="21"/>
              </w:rPr>
              <w:t>主导</w:t>
            </w:r>
            <w:r>
              <w:rPr>
                <w:rFonts w:ascii="仿宋_GB2312" w:eastAsia="仿宋_GB2312"/>
                <w:szCs w:val="21"/>
              </w:rPr>
              <w:t>产业</w:t>
            </w:r>
            <w:r>
              <w:rPr>
                <w:rFonts w:hint="eastAsia" w:ascii="仿宋_GB2312" w:eastAsia="仿宋_GB2312"/>
                <w:szCs w:val="21"/>
              </w:rPr>
              <w:t>，成为龙湾乃至温州加快国家自主创新示范区建设的关键所在。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关于助力非公有制经济人士健康成长的对策研究</w:t>
            </w:r>
          </w:p>
        </w:tc>
        <w:tc>
          <w:tcPr>
            <w:tcW w:w="9606" w:type="dxa"/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紧扣“两个健康”主题，打造新时代民营经济高质量发展“龙湾样本”，关键在于企业家队伍。课题将结合龙湾实际，围绕企业家队伍建设，提出对策建议。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关于完善拆后土地科学合理利用机制的研究</w:t>
            </w:r>
          </w:p>
        </w:tc>
        <w:tc>
          <w:tcPr>
            <w:tcW w:w="9606" w:type="dxa"/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当前，我区已从“大拆大整”转入“精建精美”。在此过程中，如何健全机制，科学合理抓好拆后土地的利用开发，成为我们当下首要解决的问题。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关于做好村（社区）规模优化调整后半篇文章的对策研究</w:t>
            </w:r>
          </w:p>
        </w:tc>
        <w:tc>
          <w:tcPr>
            <w:tcW w:w="9606" w:type="dxa"/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村（社区）规模优化调整工作是省市区委的重大战略部署，经过前期的扎实工作，目前我区的此项工作已取得阶段性成效，全区44个行政村通过村改社区表决。下一步基层组织结构、基层治理体系、基层资源配置如何全方位重构是需要深入思考、调研，提出研究对策。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spacing w:val="-1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C2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2019-06-13T06:32:00Z</dcterms:created>
  <dc:creator>Enly</dc:creator>
  <cp:lastModifiedBy>Enly</cp:lastModifiedBy>
  <dcterms:modified xsi:type="dcterms:W3CDTF">2019-06-13T06:32:57Z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