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jc w:val="center"/>
        <w:outlineLvl w:val="0"/>
        <w:rPr>
          <w:rFonts w:hint="eastAsia" w:ascii="宋体" w:hAnsi="宋体" w:cs="宋体"/>
          <w:b/>
          <w:sz w:val="32"/>
        </w:rPr>
      </w:pPr>
      <w:r>
        <w:rPr>
          <w:rFonts w:hint="eastAsia" w:ascii="宋体" w:hAnsi="宋体" w:cs="宋体"/>
          <w:b/>
          <w:sz w:val="32"/>
        </w:rPr>
        <w:t>采购需求</w:t>
      </w:r>
    </w:p>
    <w:p>
      <w:pPr>
        <w:spacing w:line="400" w:lineRule="exact"/>
        <w:rPr>
          <w:rFonts w:hint="eastAsia" w:ascii="宋体" w:hAnsi="宋体" w:cs="宋体"/>
          <w:b/>
          <w:bCs/>
          <w:sz w:val="22"/>
        </w:rPr>
      </w:pPr>
    </w:p>
    <w:p>
      <w:pPr>
        <w:pStyle w:val="3"/>
        <w:pageBreakBefore w:val="0"/>
        <w:widowControl w:val="0"/>
        <w:numPr>
          <w:ilvl w:val="0"/>
          <w:numId w:val="0"/>
        </w:numPr>
        <w:kinsoku/>
        <w:wordWrap/>
        <w:overflowPunct/>
        <w:topLinePunct w:val="0"/>
        <w:autoSpaceDE/>
        <w:autoSpaceDN/>
        <w:bidi w:val="0"/>
        <w:adjustRightInd/>
        <w:snapToGrid/>
        <w:spacing w:before="0" w:after="0" w:line="360" w:lineRule="exact"/>
        <w:textAlignment w:val="auto"/>
        <w:rPr>
          <w:rFonts w:hint="eastAsia" w:ascii="宋体" w:hAnsi="宋体" w:eastAsia="宋体" w:cs="宋体"/>
          <w:b/>
          <w:bCs/>
          <w:sz w:val="22"/>
          <w:szCs w:val="22"/>
        </w:rPr>
      </w:pPr>
      <w:bookmarkStart w:id="0" w:name="_Toc30920"/>
      <w:bookmarkStart w:id="1" w:name="_Toc487538042"/>
      <w:r>
        <w:rPr>
          <w:rFonts w:hint="eastAsia" w:ascii="宋体" w:hAnsi="宋体" w:eastAsia="宋体" w:cs="宋体"/>
          <w:b/>
          <w:bCs/>
          <w:sz w:val="22"/>
          <w:szCs w:val="22"/>
        </w:rPr>
        <w:t>一、相关说明</w:t>
      </w:r>
      <w:bookmarkEnd w:id="0"/>
      <w:bookmarkEnd w:id="1"/>
    </w:p>
    <w:p>
      <w:pPr>
        <w:pageBreakBefore w:val="0"/>
        <w:widowControl w:val="0"/>
        <w:numPr>
          <w:ilvl w:val="0"/>
          <w:numId w:val="2"/>
        </w:numPr>
        <w:kinsoku/>
        <w:wordWrap/>
        <w:overflowPunct/>
        <w:topLinePunct w:val="0"/>
        <w:autoSpaceDE/>
        <w:autoSpaceDN/>
        <w:bidi w:val="0"/>
        <w:adjustRightInd/>
        <w:snapToGrid/>
        <w:spacing w:line="360" w:lineRule="exact"/>
        <w:ind w:left="20" w:leftChars="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目的：服务瑞安学院全体师生，承担师生预防保健，健康教育，常见病和传染病预防与控制及必要的医疗服务。</w:t>
      </w:r>
    </w:p>
    <w:p>
      <w:pPr>
        <w:pageBreakBefore w:val="0"/>
        <w:widowControl w:val="0"/>
        <w:numPr>
          <w:ilvl w:val="0"/>
          <w:numId w:val="2"/>
        </w:numPr>
        <w:kinsoku/>
        <w:wordWrap/>
        <w:overflowPunct/>
        <w:topLinePunct w:val="0"/>
        <w:autoSpaceDE/>
        <w:autoSpaceDN/>
        <w:bidi w:val="0"/>
        <w:adjustRightInd/>
        <w:snapToGrid/>
        <w:spacing w:line="360" w:lineRule="exact"/>
        <w:ind w:left="20" w:leftChars="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本项目为</w:t>
      </w:r>
      <w:r>
        <w:rPr>
          <w:rFonts w:hint="eastAsia" w:ascii="宋体" w:hAnsi="宋体" w:eastAsia="宋体" w:cs="宋体"/>
          <w:sz w:val="22"/>
          <w:szCs w:val="22"/>
          <w:highlight w:val="none"/>
          <w:lang w:eastAsia="zh-CN"/>
        </w:rPr>
        <w:t>瑞安学院医务室外包项目</w:t>
      </w:r>
      <w:r>
        <w:rPr>
          <w:rFonts w:hint="eastAsia" w:ascii="宋体" w:hAnsi="宋体" w:eastAsia="宋体" w:cs="宋体"/>
          <w:sz w:val="22"/>
          <w:szCs w:val="22"/>
          <w:highlight w:val="none"/>
        </w:rPr>
        <w:t>，外包场地位于瑞安学院会文楼一楼，使用面积约80</w:t>
      </w:r>
      <w:r>
        <w:rPr>
          <w:rFonts w:hint="eastAsia" w:ascii="宋体" w:hAnsi="宋体" w:eastAsia="宋体" w:cs="宋体"/>
          <w:sz w:val="22"/>
          <w:szCs w:val="22"/>
          <w:highlight w:val="none"/>
          <w:lang w:eastAsia="zh-CN"/>
        </w:rPr>
        <w:t>平方</w:t>
      </w:r>
      <w:r>
        <w:rPr>
          <w:rFonts w:hint="eastAsia" w:ascii="宋体" w:hAnsi="宋体" w:eastAsia="宋体" w:cs="宋体"/>
          <w:sz w:val="22"/>
          <w:szCs w:val="22"/>
          <w:highlight w:val="none"/>
        </w:rPr>
        <w:t>米。</w:t>
      </w:r>
    </w:p>
    <w:p>
      <w:pPr>
        <w:pageBreakBefore w:val="0"/>
        <w:widowControl w:val="0"/>
        <w:numPr>
          <w:ilvl w:val="0"/>
          <w:numId w:val="2"/>
        </w:numPr>
        <w:kinsoku/>
        <w:wordWrap/>
        <w:overflowPunct/>
        <w:topLinePunct w:val="0"/>
        <w:autoSpaceDE/>
        <w:autoSpaceDN/>
        <w:bidi w:val="0"/>
        <w:adjustRightInd/>
        <w:snapToGrid/>
        <w:spacing w:line="360" w:lineRule="exact"/>
        <w:ind w:left="20" w:leftChars="0" w:firstLineChars="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服务期：本合同服务</w:t>
      </w:r>
      <w:r>
        <w:rPr>
          <w:rFonts w:hint="eastAsia" w:ascii="宋体" w:hAnsi="宋体" w:eastAsia="宋体" w:cs="宋体"/>
          <w:color w:val="auto"/>
          <w:sz w:val="22"/>
          <w:szCs w:val="22"/>
          <w:highlight w:val="none"/>
          <w:lang w:eastAsia="zh-CN"/>
        </w:rPr>
        <w:t>工作量</w:t>
      </w:r>
      <w:r>
        <w:rPr>
          <w:rFonts w:hint="eastAsia" w:ascii="宋体" w:hAnsi="宋体" w:eastAsia="宋体" w:cs="宋体"/>
          <w:color w:val="auto"/>
          <w:sz w:val="22"/>
          <w:szCs w:val="22"/>
          <w:highlight w:val="none"/>
        </w:rPr>
        <w:t>的计量方式为</w:t>
      </w:r>
      <w:r>
        <w:rPr>
          <w:rFonts w:hint="eastAsia" w:ascii="宋体" w:hAnsi="宋体" w:eastAsia="宋体" w:cs="宋体"/>
          <w:color w:val="auto"/>
          <w:sz w:val="22"/>
          <w:szCs w:val="22"/>
          <w:highlight w:val="none"/>
          <w:lang w:val="en-US" w:eastAsia="zh-CN"/>
        </w:rPr>
        <w:t>1年</w:t>
      </w:r>
      <w:r>
        <w:rPr>
          <w:rFonts w:hint="eastAsia" w:ascii="宋体" w:hAnsi="宋体" w:eastAsia="宋体" w:cs="宋体"/>
          <w:color w:val="auto"/>
          <w:sz w:val="22"/>
          <w:szCs w:val="22"/>
          <w:highlight w:val="none"/>
        </w:rPr>
        <w:t>。合同期为签订合同之日起至202</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年12月31日止，如</w:t>
      </w:r>
      <w:r>
        <w:rPr>
          <w:rFonts w:hint="eastAsia" w:ascii="宋体" w:hAnsi="宋体" w:eastAsia="宋体" w:cs="宋体"/>
          <w:color w:val="auto"/>
          <w:sz w:val="22"/>
          <w:szCs w:val="22"/>
          <w:highlight w:val="none"/>
          <w:lang w:val="en-US" w:eastAsia="zh-CN"/>
        </w:rPr>
        <w:t>本项目成交供应商</w:t>
      </w:r>
      <w:r>
        <w:rPr>
          <w:rFonts w:hint="eastAsia" w:ascii="宋体" w:hAnsi="宋体" w:eastAsia="宋体" w:cs="宋体"/>
          <w:color w:val="auto"/>
          <w:sz w:val="22"/>
          <w:szCs w:val="22"/>
          <w:highlight w:val="none"/>
        </w:rPr>
        <w:t>不是原供应商，原供应商2026年1月1日至合同签订之日所产生的费用，由</w:t>
      </w:r>
      <w:r>
        <w:rPr>
          <w:rFonts w:hint="eastAsia" w:ascii="宋体" w:hAnsi="宋体" w:eastAsia="宋体" w:cs="宋体"/>
          <w:color w:val="auto"/>
          <w:sz w:val="22"/>
          <w:szCs w:val="22"/>
          <w:highlight w:val="none"/>
          <w:lang w:val="en-US" w:eastAsia="zh-CN"/>
        </w:rPr>
        <w:t>本项目成交供应商</w:t>
      </w:r>
      <w:r>
        <w:rPr>
          <w:rFonts w:hint="eastAsia" w:ascii="宋体" w:hAnsi="宋体" w:eastAsia="宋体" w:cs="宋体"/>
          <w:color w:val="auto"/>
          <w:sz w:val="22"/>
          <w:szCs w:val="22"/>
          <w:highlight w:val="none"/>
        </w:rPr>
        <w:t>支付，费用标准以本项目报价单日均价计算(报价</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365天</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实际服务天数)。</w:t>
      </w:r>
      <w:r>
        <w:rPr>
          <w:rFonts w:hint="eastAsia" w:ascii="宋体" w:hAnsi="宋体" w:eastAsia="宋体" w:cs="宋体"/>
          <w:b/>
          <w:color w:val="auto"/>
          <w:sz w:val="22"/>
          <w:szCs w:val="22"/>
          <w:highlight w:val="none"/>
          <w:u w:val="none"/>
          <w:lang w:val="en-US" w:eastAsia="zh-CN"/>
        </w:rPr>
        <w:t>成交供应商须主动与原服务供应商完成服务交接工作，因交接产生的一切责任与经济纠纷由成交供应商承担。</w:t>
      </w:r>
    </w:p>
    <w:p>
      <w:pPr>
        <w:pageBreakBefore w:val="0"/>
        <w:widowControl w:val="0"/>
        <w:numPr>
          <w:ilvl w:val="0"/>
          <w:numId w:val="2"/>
        </w:numPr>
        <w:kinsoku/>
        <w:wordWrap/>
        <w:overflowPunct/>
        <w:topLinePunct w:val="0"/>
        <w:autoSpaceDE/>
        <w:autoSpaceDN/>
        <w:bidi w:val="0"/>
        <w:adjustRightInd/>
        <w:snapToGrid/>
        <w:spacing w:line="360" w:lineRule="exact"/>
        <w:ind w:left="20" w:leftChars="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服务地点：瑞安（</w:t>
      </w:r>
      <w:r>
        <w:rPr>
          <w:rFonts w:hint="eastAsia" w:ascii="宋体" w:hAnsi="宋体" w:eastAsia="宋体" w:cs="宋体"/>
          <w:kern w:val="0"/>
          <w:sz w:val="22"/>
          <w:szCs w:val="22"/>
          <w:highlight w:val="none"/>
        </w:rPr>
        <w:t>温州职业技术学院瑞安学院</w:t>
      </w:r>
      <w:r>
        <w:rPr>
          <w:rFonts w:hint="eastAsia" w:ascii="宋体" w:hAnsi="宋体" w:eastAsia="宋体" w:cs="宋体"/>
          <w:sz w:val="22"/>
          <w:szCs w:val="22"/>
          <w:highlight w:val="none"/>
        </w:rPr>
        <w:t>）</w:t>
      </w:r>
      <w:r>
        <w:rPr>
          <w:rFonts w:hint="eastAsia" w:ascii="宋体" w:hAnsi="宋体" w:eastAsia="宋体" w:cs="宋体"/>
          <w:kern w:val="0"/>
          <w:sz w:val="22"/>
          <w:szCs w:val="22"/>
          <w:highlight w:val="none"/>
        </w:rPr>
        <w:t>。</w:t>
      </w:r>
    </w:p>
    <w:p>
      <w:pPr>
        <w:pageBreakBefore w:val="0"/>
        <w:widowControl w:val="0"/>
        <w:numPr>
          <w:ilvl w:val="0"/>
          <w:numId w:val="2"/>
        </w:numPr>
        <w:kinsoku/>
        <w:wordWrap/>
        <w:overflowPunct/>
        <w:topLinePunct w:val="0"/>
        <w:autoSpaceDE/>
        <w:autoSpaceDN/>
        <w:bidi w:val="0"/>
        <w:adjustRightInd/>
        <w:snapToGrid/>
        <w:spacing w:line="360" w:lineRule="exact"/>
        <w:ind w:left="20" w:leftChars="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温州职业技术学院瑞安学院现有师生人数约1900人。</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20" w:leftChars="0" w:firstLine="400" w:firstLineChars="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本次承包的成交供应商所采购的药品应为通用药品类，必须能在温州市老百姓大药房、一洲药店、叶同仁堂等知名的药店买到同类药品，且在学院内销售的价格不得高于</w:t>
      </w:r>
      <w:r>
        <w:rPr>
          <w:rFonts w:hint="eastAsia" w:ascii="宋体" w:hAnsi="宋体" w:eastAsia="宋体" w:cs="宋体"/>
          <w:color w:val="auto"/>
          <w:sz w:val="22"/>
          <w:szCs w:val="22"/>
          <w:highlight w:val="none"/>
          <w:lang w:eastAsia="zh-CN"/>
        </w:rPr>
        <w:t>温州职业技术学院高教园区医务室的价格</w:t>
      </w:r>
      <w:r>
        <w:rPr>
          <w:rFonts w:hint="eastAsia" w:ascii="宋体" w:hAnsi="宋体" w:eastAsia="宋体" w:cs="宋体"/>
          <w:color w:val="auto"/>
          <w:sz w:val="22"/>
          <w:szCs w:val="22"/>
          <w:highlight w:val="none"/>
        </w:rPr>
        <w:t>，药品的销售应当明码标价。采购人有权随时对成交供应商所采购的药品种类及药品售价</w:t>
      </w:r>
      <w:r>
        <w:rPr>
          <w:rFonts w:hint="eastAsia" w:ascii="宋体" w:hAnsi="宋体" w:eastAsia="宋体" w:cs="宋体"/>
          <w:color w:val="auto"/>
          <w:sz w:val="22"/>
          <w:szCs w:val="22"/>
          <w:highlight w:val="none"/>
          <w:lang w:eastAsia="zh-CN"/>
        </w:rPr>
        <w:t>进行</w:t>
      </w:r>
      <w:r>
        <w:rPr>
          <w:rFonts w:hint="eastAsia" w:ascii="宋体" w:hAnsi="宋体" w:eastAsia="宋体" w:cs="宋体"/>
          <w:color w:val="auto"/>
          <w:sz w:val="22"/>
          <w:szCs w:val="22"/>
          <w:highlight w:val="none"/>
        </w:rPr>
        <w:t>抽查监督，为此，承包的供应商必须向采购人提供药品采购清单目录及相关的台账，一旦发现成交供应商采购非通用类药品或者售价高于本条规定的要求，将作出严厉处罚。</w:t>
      </w:r>
    </w:p>
    <w:p>
      <w:pPr>
        <w:pageBreakBefore w:val="0"/>
        <w:widowControl w:val="0"/>
        <w:numPr>
          <w:ilvl w:val="0"/>
          <w:numId w:val="2"/>
        </w:numPr>
        <w:kinsoku/>
        <w:wordWrap/>
        <w:overflowPunct/>
        <w:topLinePunct w:val="0"/>
        <w:autoSpaceDE/>
        <w:autoSpaceDN/>
        <w:bidi w:val="0"/>
        <w:adjustRightInd/>
        <w:snapToGrid/>
        <w:spacing w:line="360" w:lineRule="exact"/>
        <w:ind w:left="20" w:leftChars="0" w:firstLineChars="0"/>
        <w:textAlignment w:val="auto"/>
        <w:rPr>
          <w:rFonts w:hint="default" w:eastAsia="宋体"/>
          <w:b w:val="0"/>
          <w:bCs/>
          <w:sz w:val="22"/>
          <w:szCs w:val="22"/>
          <w:highlight w:val="none"/>
          <w:u w:val="none"/>
          <w:lang w:val="en-US" w:eastAsia="zh-CN"/>
        </w:rPr>
      </w:pPr>
      <w:r>
        <w:rPr>
          <w:rFonts w:hint="eastAsia" w:ascii="宋体" w:hAnsi="宋体" w:eastAsia="宋体" w:cs="宋体"/>
          <w:b/>
          <w:bCs/>
          <w:color w:val="auto"/>
          <w:sz w:val="22"/>
          <w:szCs w:val="22"/>
          <w:highlight w:val="none"/>
        </w:rPr>
        <w:t>▲</w:t>
      </w:r>
      <w:r>
        <w:rPr>
          <w:rFonts w:hint="eastAsia" w:ascii="宋体" w:hAnsi="宋体" w:eastAsia="宋体" w:cs="宋体"/>
          <w:b/>
          <w:color w:val="auto"/>
          <w:sz w:val="22"/>
          <w:szCs w:val="22"/>
          <w:highlight w:val="none"/>
          <w:u w:val="single"/>
        </w:rPr>
        <w:t>本项目采购预算为人民币</w:t>
      </w:r>
      <w:r>
        <w:rPr>
          <w:rFonts w:hint="eastAsia" w:ascii="宋体" w:hAnsi="宋体" w:eastAsia="宋体" w:cs="宋体"/>
          <w:b/>
          <w:color w:val="auto"/>
          <w:sz w:val="22"/>
          <w:szCs w:val="22"/>
          <w:highlight w:val="none"/>
          <w:u w:val="single"/>
          <w:lang w:eastAsia="zh-CN"/>
        </w:rPr>
        <w:t>300000</w:t>
      </w:r>
      <w:r>
        <w:rPr>
          <w:rFonts w:hint="eastAsia" w:ascii="宋体" w:hAnsi="宋体" w:eastAsia="宋体" w:cs="宋体"/>
          <w:b/>
          <w:color w:val="auto"/>
          <w:sz w:val="22"/>
          <w:szCs w:val="22"/>
          <w:highlight w:val="none"/>
          <w:u w:val="single"/>
        </w:rPr>
        <w:t>.00元</w:t>
      </w:r>
      <w:r>
        <w:rPr>
          <w:rFonts w:hint="eastAsia" w:ascii="宋体" w:hAnsi="宋体" w:eastAsia="宋体" w:cs="宋体"/>
          <w:b/>
          <w:color w:val="auto"/>
          <w:sz w:val="22"/>
          <w:szCs w:val="22"/>
          <w:highlight w:val="none"/>
          <w:u w:val="single"/>
          <w:lang w:val="en-US" w:eastAsia="zh-CN"/>
        </w:rPr>
        <w:t>/年</w:t>
      </w:r>
      <w:r>
        <w:rPr>
          <w:rFonts w:hint="eastAsia" w:ascii="宋体" w:hAnsi="宋体" w:eastAsia="宋体" w:cs="宋体"/>
          <w:b/>
          <w:color w:val="auto"/>
          <w:sz w:val="22"/>
          <w:szCs w:val="22"/>
          <w:highlight w:val="none"/>
          <w:u w:val="single"/>
        </w:rPr>
        <w:t>，报价超过预算的，投标无效。</w:t>
      </w:r>
    </w:p>
    <w:p>
      <w:pPr>
        <w:pStyle w:val="3"/>
        <w:pageBreakBefore w:val="0"/>
        <w:widowControl w:val="0"/>
        <w:numPr>
          <w:ilvl w:val="0"/>
          <w:numId w:val="0"/>
        </w:numPr>
        <w:kinsoku/>
        <w:wordWrap/>
        <w:overflowPunct/>
        <w:topLinePunct w:val="0"/>
        <w:autoSpaceDE/>
        <w:autoSpaceDN/>
        <w:bidi w:val="0"/>
        <w:adjustRightInd/>
        <w:snapToGrid/>
        <w:spacing w:before="0" w:after="0" w:line="360" w:lineRule="exact"/>
        <w:textAlignment w:val="auto"/>
        <w:rPr>
          <w:rFonts w:hint="eastAsia" w:ascii="宋体" w:hAnsi="宋体" w:eastAsia="宋体" w:cs="宋体"/>
          <w:b/>
          <w:bCs/>
          <w:sz w:val="22"/>
          <w:szCs w:val="22"/>
          <w:highlight w:val="none"/>
        </w:rPr>
      </w:pPr>
      <w:bookmarkStart w:id="2" w:name="_Toc23949"/>
      <w:bookmarkStart w:id="3" w:name="_Toc487538043"/>
      <w:r>
        <w:rPr>
          <w:rFonts w:hint="eastAsia" w:ascii="宋体" w:hAnsi="宋体" w:eastAsia="宋体" w:cs="宋体"/>
          <w:b/>
          <w:bCs/>
          <w:sz w:val="22"/>
          <w:szCs w:val="22"/>
          <w:highlight w:val="none"/>
        </w:rPr>
        <w:t>二、采购内容及要求</w:t>
      </w:r>
      <w:bookmarkEnd w:id="2"/>
      <w:bookmarkEnd w:id="3"/>
    </w:p>
    <w:p>
      <w:pPr>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1.服务内容和要求</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647"/>
        <w:gridCol w:w="6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03" w:type="pct"/>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序号</w:t>
            </w:r>
          </w:p>
        </w:tc>
        <w:tc>
          <w:tcPr>
            <w:tcW w:w="927" w:type="pct"/>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合作服务内容</w:t>
            </w:r>
          </w:p>
        </w:tc>
        <w:tc>
          <w:tcPr>
            <w:tcW w:w="3669" w:type="pct"/>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合作具体内容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403" w:type="pct"/>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927" w:type="pct"/>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日常门（急）诊</w:t>
            </w:r>
          </w:p>
        </w:tc>
        <w:tc>
          <w:tcPr>
            <w:tcW w:w="3669" w:type="pct"/>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rPr>
              <w:t>负责每天24小时的急诊、门诊诊疗。</w:t>
            </w:r>
            <w:r>
              <w:rPr>
                <w:rFonts w:hint="eastAsia" w:ascii="宋体" w:hAnsi="宋体" w:eastAsia="宋体" w:cs="宋体"/>
                <w:color w:val="auto"/>
                <w:sz w:val="22"/>
                <w:szCs w:val="22"/>
                <w:highlight w:val="none"/>
                <w:lang w:val="en-US" w:eastAsia="zh-CN"/>
              </w:rPr>
              <w:t>(其中周六日、法定节假日以及寒暑假的</w:t>
            </w:r>
            <w:r>
              <w:rPr>
                <w:rFonts w:hint="eastAsia" w:ascii="宋体" w:hAnsi="宋体" w:eastAsia="宋体" w:cs="宋体"/>
                <w:color w:val="auto"/>
                <w:sz w:val="22"/>
                <w:szCs w:val="22"/>
                <w:highlight w:val="none"/>
              </w:rPr>
              <w:t>门（急）诊根据采购人的约定执行。</w:t>
            </w:r>
            <w:r>
              <w:rPr>
                <w:rFonts w:hint="eastAsia" w:ascii="宋体" w:hAnsi="宋体" w:eastAsia="宋体" w:cs="宋体"/>
                <w:color w:val="auto"/>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03" w:type="pct"/>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927" w:type="pct"/>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预防保健</w:t>
            </w:r>
          </w:p>
        </w:tc>
        <w:tc>
          <w:tcPr>
            <w:tcW w:w="3669" w:type="pct"/>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负责学院师生常见病、多发病的预防，并协助学校做好疾控宣传预防工作。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03" w:type="pct"/>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w:t>
            </w:r>
          </w:p>
        </w:tc>
        <w:tc>
          <w:tcPr>
            <w:tcW w:w="927" w:type="pct"/>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传染病预防控制及公共卫生事件处理</w:t>
            </w:r>
          </w:p>
        </w:tc>
        <w:tc>
          <w:tcPr>
            <w:tcW w:w="3669" w:type="pct"/>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负责学院传染病和突发公共卫生事件的处理，及时发现并上报，隔离、治疗并对密切接触者筛查、对寝室进行消毒。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03" w:type="pct"/>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w:t>
            </w:r>
          </w:p>
        </w:tc>
        <w:tc>
          <w:tcPr>
            <w:tcW w:w="927" w:type="pct"/>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学院日常卫生检查</w:t>
            </w:r>
          </w:p>
        </w:tc>
        <w:tc>
          <w:tcPr>
            <w:tcW w:w="3669" w:type="pct"/>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协助定期对学院餐厅、饮用水、环境卫生的检查。协助“灭四害”工作。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403" w:type="pct"/>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w:t>
            </w:r>
          </w:p>
        </w:tc>
        <w:tc>
          <w:tcPr>
            <w:tcW w:w="927" w:type="pct"/>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健康宣教</w:t>
            </w:r>
          </w:p>
        </w:tc>
        <w:tc>
          <w:tcPr>
            <w:tcW w:w="3669" w:type="pct"/>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包括定期在宣传栏、广播、网络等各种平台开展卫生知识宣传，派发健康宣传资料，按教育部规定每学年开展健康教育课程。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03" w:type="pct"/>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6</w:t>
            </w:r>
          </w:p>
        </w:tc>
        <w:tc>
          <w:tcPr>
            <w:tcW w:w="927" w:type="pct"/>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卫生测评</w:t>
            </w:r>
          </w:p>
        </w:tc>
        <w:tc>
          <w:tcPr>
            <w:tcW w:w="3669" w:type="pct"/>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负责准备相关资料，协助学院迎接国家、省市及监督所对学院的卫生测评检查。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03" w:type="pct"/>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7</w:t>
            </w:r>
          </w:p>
        </w:tc>
        <w:tc>
          <w:tcPr>
            <w:tcW w:w="927" w:type="pct"/>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其他</w:t>
            </w:r>
          </w:p>
        </w:tc>
        <w:tc>
          <w:tcPr>
            <w:tcW w:w="3669" w:type="pct"/>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负责提供新生入学军训、大型考试、运动会等重大</w:t>
            </w:r>
            <w:r>
              <w:rPr>
                <w:rFonts w:hint="eastAsia" w:ascii="宋体" w:hAnsi="宋体" w:eastAsia="宋体" w:cs="宋体"/>
                <w:sz w:val="22"/>
                <w:szCs w:val="22"/>
                <w:highlight w:val="none"/>
                <w:lang w:eastAsia="zh-CN"/>
              </w:rPr>
              <w:t>学生</w:t>
            </w:r>
            <w:r>
              <w:rPr>
                <w:rFonts w:hint="eastAsia" w:ascii="宋体" w:hAnsi="宋体" w:eastAsia="宋体" w:cs="宋体"/>
                <w:sz w:val="22"/>
                <w:szCs w:val="22"/>
                <w:highlight w:val="none"/>
              </w:rPr>
              <w:t>活动</w:t>
            </w:r>
            <w:r>
              <w:rPr>
                <w:rFonts w:hint="eastAsia" w:ascii="宋体" w:hAnsi="宋体" w:eastAsia="宋体" w:cs="宋体"/>
                <w:sz w:val="22"/>
                <w:szCs w:val="22"/>
                <w:highlight w:val="none"/>
                <w:lang w:eastAsia="zh-CN"/>
              </w:rPr>
              <w:t>的</w:t>
            </w:r>
            <w:r>
              <w:rPr>
                <w:rFonts w:hint="eastAsia" w:ascii="宋体" w:hAnsi="宋体" w:eastAsia="宋体" w:cs="宋体"/>
                <w:sz w:val="22"/>
                <w:szCs w:val="22"/>
                <w:highlight w:val="none"/>
              </w:rPr>
              <w:t>医疗保障。</w:t>
            </w:r>
          </w:p>
        </w:tc>
      </w:tr>
    </w:tbl>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2"/>
          <w:szCs w:val="22"/>
          <w:highlight w:val="none"/>
        </w:rPr>
      </w:pPr>
      <w:r>
        <w:rPr>
          <w:rFonts w:hint="eastAsia" w:ascii="宋体" w:hAnsi="宋体" w:eastAsia="宋体" w:cs="宋体"/>
          <w:b/>
          <w:bCs/>
          <w:sz w:val="22"/>
          <w:szCs w:val="22"/>
        </w:rPr>
        <w:t xml:space="preserve"> </w:t>
      </w:r>
      <w:r>
        <w:rPr>
          <w:rFonts w:hint="eastAsia" w:ascii="宋体" w:hAnsi="宋体" w:eastAsia="宋体" w:cs="宋体"/>
          <w:sz w:val="22"/>
          <w:szCs w:val="22"/>
        </w:rPr>
        <w:t xml:space="preserve">   2</w:t>
      </w:r>
      <w:r>
        <w:rPr>
          <w:rFonts w:hint="eastAsia" w:ascii="宋体" w:hAnsi="宋体" w:eastAsia="宋体" w:cs="宋体"/>
          <w:sz w:val="22"/>
          <w:szCs w:val="22"/>
          <w:highlight w:val="none"/>
        </w:rPr>
        <w:t>.服务期内采购人对</w:t>
      </w:r>
      <w:r>
        <w:rPr>
          <w:rFonts w:hint="eastAsia" w:ascii="宋体" w:hAnsi="宋体" w:eastAsia="宋体" w:cs="宋体"/>
          <w:sz w:val="22"/>
          <w:szCs w:val="22"/>
          <w:highlight w:val="none"/>
          <w:lang w:eastAsia="zh-CN"/>
        </w:rPr>
        <w:t>成交供应商</w:t>
      </w:r>
      <w:r>
        <w:rPr>
          <w:rFonts w:hint="eastAsia" w:ascii="宋体" w:hAnsi="宋体" w:eastAsia="宋体" w:cs="宋体"/>
          <w:sz w:val="22"/>
          <w:szCs w:val="22"/>
          <w:highlight w:val="none"/>
        </w:rPr>
        <w:t>进行考核，如考核不合格或出现重大过错，采购人有权终止合同并由</w:t>
      </w:r>
      <w:r>
        <w:rPr>
          <w:rFonts w:hint="eastAsia" w:ascii="宋体" w:hAnsi="宋体" w:eastAsia="宋体" w:cs="宋体"/>
          <w:sz w:val="22"/>
          <w:szCs w:val="22"/>
          <w:highlight w:val="none"/>
          <w:lang w:eastAsia="zh-CN"/>
        </w:rPr>
        <w:t>成交供应商</w:t>
      </w:r>
      <w:r>
        <w:rPr>
          <w:rFonts w:hint="eastAsia" w:ascii="宋体" w:hAnsi="宋体" w:eastAsia="宋体" w:cs="宋体"/>
          <w:sz w:val="22"/>
          <w:szCs w:val="22"/>
          <w:highlight w:val="none"/>
        </w:rPr>
        <w:t>承担全部责任。</w:t>
      </w:r>
    </w:p>
    <w:p>
      <w:pPr>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w:t>
      </w:r>
      <w:r>
        <w:rPr>
          <w:rFonts w:hint="eastAsia" w:ascii="宋体" w:hAnsi="宋体" w:eastAsia="宋体" w:cs="宋体"/>
          <w:sz w:val="22"/>
          <w:szCs w:val="22"/>
          <w:highlight w:val="none"/>
          <w:u w:val="single"/>
        </w:rPr>
        <w:t>▲成交供应商应确保服务期内24小时门诊服务不间断，日间在校医务室至少配置1名执业医师与</w:t>
      </w:r>
      <w:r>
        <w:rPr>
          <w:rFonts w:hint="eastAsia" w:ascii="宋体" w:hAnsi="宋体" w:eastAsia="宋体" w:cs="宋体"/>
          <w:sz w:val="22"/>
          <w:szCs w:val="22"/>
          <w:highlight w:val="none"/>
          <w:u w:val="single"/>
          <w:lang w:val="en-US" w:eastAsia="zh-CN"/>
        </w:rPr>
        <w:t>1</w:t>
      </w:r>
      <w:r>
        <w:rPr>
          <w:rFonts w:hint="eastAsia" w:ascii="宋体" w:hAnsi="宋体" w:eastAsia="宋体" w:cs="宋体"/>
          <w:sz w:val="22"/>
          <w:szCs w:val="22"/>
          <w:highlight w:val="none"/>
          <w:u w:val="single"/>
        </w:rPr>
        <w:t>名执业护士，夜间至少安排1名执业医师值班。派驻人员必须</w:t>
      </w:r>
      <w:r>
        <w:rPr>
          <w:rFonts w:hint="eastAsia" w:ascii="宋体" w:hAnsi="宋体" w:eastAsia="宋体" w:cs="宋体"/>
          <w:sz w:val="22"/>
          <w:szCs w:val="22"/>
          <w:highlight w:val="none"/>
          <w:u w:val="single"/>
          <w:lang w:val="en-US" w:eastAsia="zh-CN"/>
        </w:rPr>
        <w:t>在合同签订前</w:t>
      </w:r>
      <w:r>
        <w:rPr>
          <w:rFonts w:hint="eastAsia" w:ascii="宋体" w:hAnsi="宋体" w:eastAsia="宋体" w:cs="宋体"/>
          <w:sz w:val="22"/>
          <w:szCs w:val="22"/>
          <w:highlight w:val="none"/>
          <w:u w:val="single"/>
        </w:rPr>
        <w:t>完成在温州职业技术学院瑞安学院医务室的医疗机构执业注册或备案</w:t>
      </w:r>
      <w:r>
        <w:rPr>
          <w:rFonts w:hint="eastAsia" w:ascii="宋体" w:hAnsi="宋体" w:eastAsia="宋体" w:cs="宋体"/>
          <w:sz w:val="22"/>
          <w:szCs w:val="22"/>
          <w:highlight w:val="none"/>
          <w:u w:val="none"/>
          <w:lang w:eastAsia="zh-CN"/>
        </w:rPr>
        <w:t>，</w:t>
      </w:r>
      <w:r>
        <w:rPr>
          <w:rFonts w:hint="eastAsia" w:ascii="宋体" w:hAnsi="宋体" w:eastAsia="宋体" w:cs="宋体"/>
          <w:sz w:val="22"/>
          <w:szCs w:val="22"/>
          <w:highlight w:val="none"/>
          <w:u w:val="none"/>
        </w:rPr>
        <w:t>执</w:t>
      </w:r>
      <w:r>
        <w:rPr>
          <w:rFonts w:hint="eastAsia" w:ascii="宋体" w:hAnsi="宋体" w:eastAsia="宋体" w:cs="宋体"/>
          <w:sz w:val="22"/>
          <w:szCs w:val="22"/>
          <w:highlight w:val="none"/>
        </w:rPr>
        <w:t>有国家相关有效资格证书、执业证书，具备基本急救技术（</w:t>
      </w:r>
      <w:r>
        <w:rPr>
          <w:rFonts w:hint="eastAsia" w:ascii="宋体" w:hAnsi="宋体" w:eastAsia="宋体" w:cs="宋体"/>
          <w:color w:val="auto"/>
          <w:sz w:val="22"/>
          <w:szCs w:val="22"/>
          <w:highlight w:val="none"/>
          <w:lang w:eastAsia="zh-CN"/>
        </w:rPr>
        <w:t>并做好电子化信息存档</w:t>
      </w:r>
      <w:r>
        <w:rPr>
          <w:rFonts w:hint="eastAsia" w:ascii="宋体" w:hAnsi="宋体" w:eastAsia="宋体" w:cs="宋体"/>
          <w:color w:val="auto"/>
          <w:sz w:val="22"/>
          <w:szCs w:val="22"/>
          <w:highlight w:val="none"/>
        </w:rPr>
        <w:t>如心肺复苏、AED</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包扎止血等）</w:t>
      </w:r>
      <w:r>
        <w:rPr>
          <w:rFonts w:hint="eastAsia" w:ascii="宋体" w:hAnsi="宋体" w:eastAsia="宋体" w:cs="宋体"/>
          <w:sz w:val="22"/>
          <w:szCs w:val="22"/>
          <w:highlight w:val="none"/>
        </w:rPr>
        <w:t>，</w:t>
      </w:r>
      <w:r>
        <w:rPr>
          <w:rFonts w:hint="eastAsia" w:ascii="宋体" w:hAnsi="宋体" w:eastAsia="宋体" w:cs="宋体"/>
          <w:sz w:val="22"/>
          <w:szCs w:val="22"/>
          <w:highlight w:val="none"/>
          <w:lang w:eastAsia="zh-CN"/>
        </w:rPr>
        <w:t>成交供应商</w:t>
      </w:r>
      <w:r>
        <w:rPr>
          <w:rFonts w:hint="eastAsia" w:ascii="宋体" w:hAnsi="宋体" w:eastAsia="宋体" w:cs="宋体"/>
          <w:sz w:val="22"/>
          <w:szCs w:val="22"/>
          <w:highlight w:val="none"/>
        </w:rPr>
        <w:t>须将从业医护人员（非退休返聘人员）相关证件交由采购人备案登记，并配合采购人完成医护人员在当地卫生行政部门的注册。</w:t>
      </w:r>
    </w:p>
    <w:p>
      <w:pPr>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sz w:val="22"/>
          <w:szCs w:val="22"/>
          <w:highlight w:val="none"/>
        </w:rPr>
        <w:t>4</w:t>
      </w:r>
      <w:r>
        <w:rPr>
          <w:rFonts w:hint="eastAsia" w:ascii="宋体" w:hAnsi="宋体" w:eastAsia="宋体" w:cs="宋体"/>
          <w:color w:val="auto"/>
          <w:sz w:val="22"/>
          <w:szCs w:val="22"/>
          <w:highlight w:val="none"/>
        </w:rPr>
        <w:t xml:space="preserve">.医务室免收采购人师生及在校非在编员工（由采购人提供名单）就诊的一般诊疗费。 </w:t>
      </w:r>
    </w:p>
    <w:p>
      <w:pPr>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highlight w:val="none"/>
        </w:rPr>
        <w:t>5.就医费用结算：采用校园一卡通、无线支付形式收取。所产生的收入全部归</w:t>
      </w:r>
      <w:r>
        <w:rPr>
          <w:rFonts w:hint="eastAsia" w:ascii="宋体" w:hAnsi="宋体" w:eastAsia="宋体" w:cs="宋体"/>
          <w:color w:val="auto"/>
          <w:sz w:val="22"/>
          <w:szCs w:val="22"/>
          <w:highlight w:val="none"/>
          <w:lang w:val="en-US" w:eastAsia="zh-CN"/>
        </w:rPr>
        <w:t>成交供应商</w:t>
      </w:r>
      <w:r>
        <w:rPr>
          <w:rFonts w:hint="eastAsia" w:ascii="宋体" w:hAnsi="宋体" w:eastAsia="宋体" w:cs="宋体"/>
          <w:color w:val="auto"/>
          <w:sz w:val="22"/>
          <w:szCs w:val="22"/>
          <w:highlight w:val="none"/>
        </w:rPr>
        <w:t>所有，通过校园一卡通（学校免费提供刷卡机）收取的药品费用</w:t>
      </w:r>
      <w:r>
        <w:rPr>
          <w:rFonts w:hint="eastAsia" w:ascii="宋体" w:hAnsi="宋体" w:eastAsia="宋体" w:cs="宋体"/>
          <w:color w:val="auto"/>
          <w:sz w:val="22"/>
          <w:szCs w:val="22"/>
        </w:rPr>
        <w:t>，款项在下月15日前由</w:t>
      </w:r>
      <w:r>
        <w:rPr>
          <w:rFonts w:hint="eastAsia" w:ascii="宋体" w:hAnsi="宋体" w:eastAsia="宋体" w:cs="宋体"/>
          <w:color w:val="auto"/>
          <w:sz w:val="22"/>
          <w:szCs w:val="22"/>
          <w:lang w:eastAsia="zh-CN"/>
        </w:rPr>
        <w:t>成交供应商</w:t>
      </w:r>
      <w:r>
        <w:rPr>
          <w:rFonts w:hint="eastAsia" w:ascii="宋体" w:hAnsi="宋体" w:eastAsia="宋体" w:cs="宋体"/>
          <w:color w:val="auto"/>
          <w:sz w:val="22"/>
          <w:szCs w:val="22"/>
        </w:rPr>
        <w:t>开具发票向采购人申请支付。</w:t>
      </w:r>
    </w:p>
    <w:p>
      <w:pPr>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6</w:t>
      </w:r>
      <w:r>
        <w:rPr>
          <w:rFonts w:hint="eastAsia" w:ascii="宋体" w:hAnsi="宋体" w:eastAsia="宋体" w:cs="宋体"/>
          <w:sz w:val="22"/>
          <w:szCs w:val="22"/>
          <w:lang w:val="en-US" w:eastAsia="zh-CN"/>
        </w:rPr>
        <w:t>.</w:t>
      </w:r>
      <w:r>
        <w:rPr>
          <w:rFonts w:hint="eastAsia" w:ascii="宋体" w:hAnsi="宋体" w:eastAsia="宋体" w:cs="宋体"/>
          <w:b w:val="0"/>
          <w:bCs w:val="0"/>
          <w:color w:val="auto"/>
          <w:sz w:val="22"/>
          <w:szCs w:val="22"/>
          <w:highlight w:val="none"/>
          <w:lang w:val="en-US" w:eastAsia="zh-CN"/>
        </w:rPr>
        <w:t>协助学校做好冬春季呼吸道疾病与夏季肠道疾病的宣传预防工作</w:t>
      </w:r>
      <w:r>
        <w:rPr>
          <w:rFonts w:hint="eastAsia" w:ascii="宋体" w:hAnsi="宋体" w:eastAsia="宋体" w:cs="宋体"/>
          <w:sz w:val="22"/>
          <w:szCs w:val="22"/>
        </w:rPr>
        <w:t>。</w:t>
      </w:r>
    </w:p>
    <w:p>
      <w:pPr>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7.使用电子病历系统记录诊疗信息，并做好电子化信息存档。</w:t>
      </w:r>
    </w:p>
    <w:p>
      <w:pPr>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8.采购人投入装修、办公设备、仪器供承包单位使用（见附表1）</w:t>
      </w:r>
    </w:p>
    <w:p>
      <w:pPr>
        <w:spacing w:line="360" w:lineRule="exact"/>
        <w:rPr>
          <w:rFonts w:hint="eastAsia" w:ascii="宋体" w:hAnsi="宋体" w:eastAsia="宋体" w:cs="宋体"/>
          <w:b/>
          <w:bCs/>
          <w:color w:val="000000"/>
          <w:sz w:val="22"/>
          <w:szCs w:val="22"/>
        </w:rPr>
      </w:pPr>
      <w:r>
        <w:rPr>
          <w:rFonts w:hint="eastAsia" w:ascii="宋体" w:hAnsi="宋体" w:eastAsia="宋体" w:cs="宋体"/>
          <w:b/>
          <w:bCs/>
          <w:color w:val="000000"/>
          <w:sz w:val="22"/>
          <w:szCs w:val="22"/>
        </w:rPr>
        <w:t>三、相关附表</w:t>
      </w:r>
    </w:p>
    <w:p>
      <w:pPr>
        <w:spacing w:line="360" w:lineRule="exact"/>
        <w:rPr>
          <w:rFonts w:hint="eastAsia" w:ascii="宋体" w:hAnsi="宋体" w:eastAsia="宋体" w:cs="宋体"/>
          <w:b/>
          <w:bCs/>
          <w:color w:val="000000"/>
          <w:sz w:val="22"/>
          <w:szCs w:val="22"/>
        </w:rPr>
      </w:pPr>
      <w:r>
        <w:rPr>
          <w:rFonts w:hint="eastAsia" w:ascii="宋体" w:hAnsi="宋体" w:eastAsia="宋体" w:cs="宋体"/>
          <w:b/>
          <w:bCs/>
          <w:color w:val="000000"/>
          <w:sz w:val="22"/>
          <w:szCs w:val="22"/>
        </w:rPr>
        <w:t>附表1：</w:t>
      </w:r>
    </w:p>
    <w:p>
      <w:pPr>
        <w:pStyle w:val="10"/>
        <w:jc w:val="center"/>
        <w:rPr>
          <w:rFonts w:hint="eastAsia" w:ascii="宋体" w:hAnsi="宋体" w:eastAsia="宋体" w:cs="宋体"/>
          <w:sz w:val="22"/>
          <w:szCs w:val="22"/>
        </w:rPr>
      </w:pPr>
      <w:r>
        <w:rPr>
          <w:rFonts w:hint="eastAsia" w:ascii="宋体" w:hAnsi="宋体" w:eastAsia="宋体" w:cs="宋体"/>
          <w:color w:val="000000"/>
          <w:sz w:val="22"/>
          <w:szCs w:val="22"/>
        </w:rPr>
        <w:t>采购人投入装修、办公设备、仪器</w:t>
      </w:r>
    </w:p>
    <w:tbl>
      <w:tblPr>
        <w:tblStyle w:val="7"/>
        <w:tblW w:w="4998" w:type="pct"/>
        <w:jc w:val="center"/>
        <w:tblLayout w:type="autofit"/>
        <w:tblCellMar>
          <w:top w:w="0" w:type="dxa"/>
          <w:left w:w="108" w:type="dxa"/>
          <w:bottom w:w="0" w:type="dxa"/>
          <w:right w:w="108" w:type="dxa"/>
        </w:tblCellMar>
      </w:tblPr>
      <w:tblGrid>
        <w:gridCol w:w="664"/>
        <w:gridCol w:w="2349"/>
        <w:gridCol w:w="2986"/>
        <w:gridCol w:w="933"/>
        <w:gridCol w:w="830"/>
        <w:gridCol w:w="1116"/>
      </w:tblGrid>
      <w:tr>
        <w:tblPrEx>
          <w:tblCellMar>
            <w:top w:w="0" w:type="dxa"/>
            <w:left w:w="108" w:type="dxa"/>
            <w:bottom w:w="0" w:type="dxa"/>
            <w:right w:w="108" w:type="dxa"/>
          </w:tblCellMar>
        </w:tblPrEx>
        <w:trPr>
          <w:trHeight w:val="300" w:hRule="atLeast"/>
          <w:jc w:val="center"/>
        </w:trPr>
        <w:tc>
          <w:tcPr>
            <w:tcW w:w="374" w:type="pct"/>
            <w:tcBorders>
              <w:top w:val="single" w:color="000000" w:sz="8" w:space="0"/>
              <w:left w:val="single" w:color="000000" w:sz="8" w:space="0"/>
              <w:bottom w:val="single" w:color="auto" w:sz="4"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bookmarkStart w:id="4" w:name="_GoBack"/>
            <w:r>
              <w:rPr>
                <w:rFonts w:hint="eastAsia" w:ascii="宋体" w:hAnsi="宋体" w:eastAsia="宋体" w:cs="宋体"/>
                <w:color w:val="000000"/>
                <w:kern w:val="0"/>
                <w:sz w:val="22"/>
                <w:szCs w:val="22"/>
                <w:lang w:bidi="ar"/>
              </w:rPr>
              <w:t>序号</w:t>
            </w:r>
          </w:p>
        </w:tc>
        <w:tc>
          <w:tcPr>
            <w:tcW w:w="1322" w:type="pct"/>
            <w:tcBorders>
              <w:top w:val="single" w:color="000000" w:sz="8" w:space="0"/>
              <w:left w:val="nil"/>
              <w:bottom w:val="single" w:color="auto" w:sz="4"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r>
              <w:rPr>
                <w:rStyle w:val="11"/>
                <w:rFonts w:hint="eastAsia" w:ascii="宋体" w:hAnsi="宋体" w:eastAsia="宋体" w:cs="宋体"/>
                <w:sz w:val="22"/>
                <w:szCs w:val="22"/>
                <w:lang w:bidi="ar"/>
              </w:rPr>
              <w:t>资产名称</w:t>
            </w:r>
          </w:p>
        </w:tc>
        <w:tc>
          <w:tcPr>
            <w:tcW w:w="1681" w:type="pct"/>
            <w:tcBorders>
              <w:top w:val="single" w:color="000000" w:sz="8" w:space="0"/>
              <w:left w:val="nil"/>
              <w:bottom w:val="single" w:color="auto" w:sz="4"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型号规格</w:t>
            </w:r>
          </w:p>
        </w:tc>
        <w:tc>
          <w:tcPr>
            <w:tcW w:w="525" w:type="pct"/>
            <w:tcBorders>
              <w:top w:val="single" w:color="000000" w:sz="8" w:space="0"/>
              <w:left w:val="nil"/>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w:t>
            </w:r>
          </w:p>
        </w:tc>
        <w:tc>
          <w:tcPr>
            <w:tcW w:w="467" w:type="pct"/>
            <w:tcBorders>
              <w:top w:val="single" w:color="auto" w:sz="4" w:space="0"/>
              <w:left w:val="single" w:color="auto" w:sz="4" w:space="0"/>
              <w:bottom w:val="single" w:color="auto" w:sz="4"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数量</w:t>
            </w:r>
          </w:p>
        </w:tc>
        <w:tc>
          <w:tcPr>
            <w:tcW w:w="628" w:type="pct"/>
            <w:tcBorders>
              <w:top w:val="single" w:color="auto" w:sz="4" w:space="0"/>
              <w:left w:val="nil"/>
              <w:bottom w:val="single" w:color="auto" w:sz="4" w:space="0"/>
              <w:right w:val="single" w:color="auto" w:sz="4" w:space="0"/>
            </w:tcBorders>
            <w:noWrap w:val="0"/>
            <w:vAlign w:val="center"/>
          </w:tcPr>
          <w:p>
            <w:pPr>
              <w:widowControl/>
              <w:spacing w:line="360" w:lineRule="exact"/>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存放点</w:t>
            </w: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32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CR储槽</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伸缩型23</w:t>
            </w:r>
          </w:p>
        </w:tc>
        <w:tc>
          <w:tcPr>
            <w:tcW w:w="52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28"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医务室</w:t>
            </w: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3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CR镊子筒</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小号</w:t>
            </w:r>
          </w:p>
        </w:tc>
        <w:tc>
          <w:tcPr>
            <w:tcW w:w="52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3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CR镊子筒</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中号</w:t>
            </w:r>
          </w:p>
        </w:tc>
        <w:tc>
          <w:tcPr>
            <w:tcW w:w="52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32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CR消毒盒</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8寸型无孔230*150*65</w:t>
            </w:r>
          </w:p>
        </w:tc>
        <w:tc>
          <w:tcPr>
            <w:tcW w:w="52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3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CR药膏罐</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90*90</w:t>
            </w:r>
          </w:p>
        </w:tc>
        <w:tc>
          <w:tcPr>
            <w:tcW w:w="52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32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CR药膏罐</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80*80mm</w:t>
            </w:r>
          </w:p>
        </w:tc>
        <w:tc>
          <w:tcPr>
            <w:tcW w:w="52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132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CR针管盒</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中134*50*39</w:t>
            </w:r>
          </w:p>
        </w:tc>
        <w:tc>
          <w:tcPr>
            <w:tcW w:w="52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9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132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办公椅</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1805*680*800</w:t>
            </w:r>
          </w:p>
        </w:tc>
        <w:tc>
          <w:tcPr>
            <w:tcW w:w="52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132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办公椅</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2"/>
                <w:szCs w:val="22"/>
              </w:rPr>
            </w:pPr>
          </w:p>
        </w:tc>
        <w:tc>
          <w:tcPr>
            <w:tcW w:w="52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132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办公桌</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木制140*70</w:t>
            </w:r>
          </w:p>
        </w:tc>
        <w:tc>
          <w:tcPr>
            <w:tcW w:w="52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13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不锈钢煤电手提灭菌器</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TXQ-9045-280SA</w:t>
            </w:r>
          </w:p>
        </w:tc>
        <w:tc>
          <w:tcPr>
            <w:tcW w:w="52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13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不锈钢双门器械柜</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I型900X</w:t>
            </w:r>
          </w:p>
        </w:tc>
        <w:tc>
          <w:tcPr>
            <w:tcW w:w="52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13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不锈钢双门药品柜</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II型1100X450</w:t>
            </w:r>
          </w:p>
        </w:tc>
        <w:tc>
          <w:tcPr>
            <w:tcW w:w="52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w:t>
            </w:r>
          </w:p>
        </w:tc>
        <w:tc>
          <w:tcPr>
            <w:tcW w:w="13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不锈钢四门器械柜</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II型1100X450</w:t>
            </w:r>
          </w:p>
        </w:tc>
        <w:tc>
          <w:tcPr>
            <w:tcW w:w="52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132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单向移门工作台</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1200*800*700</w:t>
            </w:r>
          </w:p>
        </w:tc>
        <w:tc>
          <w:tcPr>
            <w:tcW w:w="52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w:t>
            </w:r>
          </w:p>
        </w:tc>
        <w:tc>
          <w:tcPr>
            <w:tcW w:w="132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电脑</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HP285G1/AMDA10</w:t>
            </w:r>
          </w:p>
        </w:tc>
        <w:tc>
          <w:tcPr>
            <w:tcW w:w="52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w:t>
            </w:r>
          </w:p>
        </w:tc>
        <w:tc>
          <w:tcPr>
            <w:tcW w:w="13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电子体重秤</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HCS-200-RT</w:t>
            </w:r>
          </w:p>
        </w:tc>
        <w:tc>
          <w:tcPr>
            <w:tcW w:w="52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w:t>
            </w:r>
          </w:p>
        </w:tc>
        <w:tc>
          <w:tcPr>
            <w:tcW w:w="13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对数视力表灯</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w:t>
            </w:r>
          </w:p>
        </w:tc>
        <w:tc>
          <w:tcPr>
            <w:tcW w:w="52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19</w:t>
            </w:r>
          </w:p>
        </w:tc>
        <w:tc>
          <w:tcPr>
            <w:tcW w:w="13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辅料镊</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14cm</w:t>
            </w:r>
          </w:p>
        </w:tc>
        <w:tc>
          <w:tcPr>
            <w:tcW w:w="52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把</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13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辅料镊</w:t>
            </w:r>
          </w:p>
        </w:tc>
        <w:tc>
          <w:tcPr>
            <w:tcW w:w="168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20cm</w:t>
            </w:r>
          </w:p>
        </w:tc>
        <w:tc>
          <w:tcPr>
            <w:tcW w:w="52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把</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21</w:t>
            </w:r>
          </w:p>
        </w:tc>
        <w:tc>
          <w:tcPr>
            <w:tcW w:w="132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红外线电子耳温仪</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6520</w:t>
            </w:r>
          </w:p>
        </w:tc>
        <w:tc>
          <w:tcPr>
            <w:tcW w:w="52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22</w:t>
            </w:r>
          </w:p>
        </w:tc>
        <w:tc>
          <w:tcPr>
            <w:tcW w:w="132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空调</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KFR-35GW/06NCA</w:t>
            </w:r>
          </w:p>
        </w:tc>
        <w:tc>
          <w:tcPr>
            <w:tcW w:w="52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23</w:t>
            </w:r>
          </w:p>
        </w:tc>
        <w:tc>
          <w:tcPr>
            <w:tcW w:w="132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空调</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KFR-36GW/DY-DA400</w:t>
            </w:r>
          </w:p>
        </w:tc>
        <w:tc>
          <w:tcPr>
            <w:tcW w:w="52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24</w:t>
            </w:r>
          </w:p>
        </w:tc>
        <w:tc>
          <w:tcPr>
            <w:tcW w:w="132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口表消毒盒</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塑料10*15cm</w:t>
            </w:r>
          </w:p>
        </w:tc>
        <w:tc>
          <w:tcPr>
            <w:tcW w:w="52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w:t>
            </w:r>
          </w:p>
        </w:tc>
        <w:tc>
          <w:tcPr>
            <w:tcW w:w="132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手术医凳软垫</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2"/>
                <w:szCs w:val="22"/>
              </w:rPr>
            </w:pPr>
          </w:p>
        </w:tc>
        <w:tc>
          <w:tcPr>
            <w:tcW w:w="52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26</w:t>
            </w:r>
          </w:p>
        </w:tc>
        <w:tc>
          <w:tcPr>
            <w:tcW w:w="1322" w:type="pct"/>
            <w:tcBorders>
              <w:top w:val="single" w:color="auto" w:sz="4" w:space="0"/>
              <w:left w:val="nil"/>
              <w:bottom w:val="single" w:color="000000" w:sz="8" w:space="0"/>
              <w:right w:val="nil"/>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体温计口表</w:t>
            </w:r>
          </w:p>
        </w:tc>
        <w:tc>
          <w:tcPr>
            <w:tcW w:w="1681"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CR WII</w:t>
            </w:r>
          </w:p>
        </w:tc>
        <w:tc>
          <w:tcPr>
            <w:tcW w:w="525" w:type="pct"/>
            <w:tcBorders>
              <w:top w:val="single" w:color="auto" w:sz="4" w:space="0"/>
              <w:left w:val="nil"/>
              <w:bottom w:val="single" w:color="000000" w:sz="8" w:space="0"/>
              <w:right w:val="nil"/>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支</w:t>
            </w:r>
          </w:p>
        </w:tc>
        <w:tc>
          <w:tcPr>
            <w:tcW w:w="467"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50</w:t>
            </w:r>
          </w:p>
        </w:tc>
        <w:tc>
          <w:tcPr>
            <w:tcW w:w="628" w:type="pct"/>
            <w:vMerge w:val="continue"/>
            <w:tcBorders>
              <w:top w:val="single" w:color="auto" w:sz="4" w:space="0"/>
              <w:left w:val="single" w:color="000000" w:sz="4" w:space="0"/>
              <w:right w:val="single" w:color="auto" w:sz="4" w:space="0"/>
            </w:tcBorders>
            <w:noWrap w:val="0"/>
            <w:vAlign w:val="center"/>
          </w:tcPr>
          <w:p>
            <w:pPr>
              <w:spacing w:line="360" w:lineRule="exact"/>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374" w:type="pct"/>
            <w:tcBorders>
              <w:top w:val="nil"/>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27</w:t>
            </w:r>
          </w:p>
        </w:tc>
        <w:tc>
          <w:tcPr>
            <w:tcW w:w="1322" w:type="pct"/>
            <w:tcBorders>
              <w:top w:val="nil"/>
              <w:left w:val="nil"/>
              <w:bottom w:val="nil"/>
              <w:right w:val="nil"/>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血压计保健盒</w:t>
            </w:r>
          </w:p>
        </w:tc>
        <w:tc>
          <w:tcPr>
            <w:tcW w:w="1681" w:type="pct"/>
            <w:tcBorders>
              <w:top w:val="nil"/>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A型2XI家庭套装</w:t>
            </w:r>
          </w:p>
        </w:tc>
        <w:tc>
          <w:tcPr>
            <w:tcW w:w="525" w:type="pct"/>
            <w:tcBorders>
              <w:top w:val="nil"/>
              <w:left w:val="nil"/>
              <w:bottom w:val="nil"/>
              <w:right w:val="nil"/>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374" w:type="pct"/>
            <w:tcBorders>
              <w:top w:val="nil"/>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28</w:t>
            </w:r>
          </w:p>
        </w:tc>
        <w:tc>
          <w:tcPr>
            <w:tcW w:w="1322" w:type="pct"/>
            <w:tcBorders>
              <w:top w:val="single" w:color="000000" w:sz="8" w:space="0"/>
              <w:left w:val="nil"/>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医用出诊箱</w:t>
            </w:r>
          </w:p>
        </w:tc>
        <w:tc>
          <w:tcPr>
            <w:tcW w:w="1681" w:type="pct"/>
            <w:tcBorders>
              <w:top w:val="nil"/>
              <w:left w:val="nil"/>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14"铝合金</w:t>
            </w:r>
          </w:p>
        </w:tc>
        <w:tc>
          <w:tcPr>
            <w:tcW w:w="525" w:type="pct"/>
            <w:tcBorders>
              <w:top w:val="single" w:color="000000" w:sz="8" w:space="0"/>
              <w:left w:val="nil"/>
              <w:bottom w:val="nil"/>
              <w:right w:val="nil"/>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374" w:type="pct"/>
            <w:tcBorders>
              <w:top w:val="nil"/>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29</w:t>
            </w:r>
          </w:p>
        </w:tc>
        <w:tc>
          <w:tcPr>
            <w:tcW w:w="1322" w:type="pct"/>
            <w:tcBorders>
              <w:top w:val="nil"/>
              <w:left w:val="nil"/>
              <w:bottom w:val="nil"/>
              <w:right w:val="nil"/>
            </w:tcBorders>
            <w:noWrap w:val="0"/>
            <w:vAlign w:val="center"/>
          </w:tcPr>
          <w:p>
            <w:pPr>
              <w:widowControl/>
              <w:spacing w:line="3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医用供氧器</w:t>
            </w:r>
          </w:p>
        </w:tc>
        <w:tc>
          <w:tcPr>
            <w:tcW w:w="1681" w:type="pct"/>
            <w:tcBorders>
              <w:top w:val="nil"/>
              <w:left w:val="single" w:color="000000" w:sz="8" w:space="0"/>
              <w:bottom w:val="single" w:color="000000" w:sz="8" w:space="0"/>
              <w:right w:val="single" w:color="000000" w:sz="8" w:space="0"/>
            </w:tcBorders>
            <w:noWrap w:val="0"/>
            <w:vAlign w:val="center"/>
          </w:tcPr>
          <w:p>
            <w:pPr>
              <w:widowControl/>
              <w:spacing w:line="360" w:lineRule="exact"/>
              <w:jc w:val="center"/>
              <w:textAlignment w:val="center"/>
              <w:rPr>
                <w:rFonts w:hint="eastAsia" w:ascii="宋体" w:hAnsi="宋体" w:eastAsia="宋体" w:cs="宋体"/>
                <w:sz w:val="22"/>
                <w:szCs w:val="22"/>
              </w:rPr>
            </w:pPr>
          </w:p>
        </w:tc>
        <w:tc>
          <w:tcPr>
            <w:tcW w:w="525" w:type="pct"/>
            <w:tcBorders>
              <w:top w:val="single" w:color="000000" w:sz="8" w:space="0"/>
              <w:left w:val="nil"/>
              <w:bottom w:val="nil"/>
              <w:right w:val="nil"/>
            </w:tcBorders>
            <w:noWrap w:val="0"/>
            <w:vAlign w:val="center"/>
          </w:tcPr>
          <w:p>
            <w:pPr>
              <w:widowControl/>
              <w:spacing w:line="3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台</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374" w:type="pct"/>
            <w:tcBorders>
              <w:top w:val="nil"/>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1322" w:type="pct"/>
            <w:tcBorders>
              <w:top w:val="single" w:color="000000" w:sz="8" w:space="0"/>
              <w:left w:val="nil"/>
              <w:bottom w:val="nil"/>
              <w:right w:val="nil"/>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圆凳</w:t>
            </w:r>
          </w:p>
        </w:tc>
        <w:tc>
          <w:tcPr>
            <w:tcW w:w="1681" w:type="pct"/>
            <w:tcBorders>
              <w:top w:val="nil"/>
              <w:left w:val="single" w:color="000000" w:sz="8" w:space="0"/>
              <w:bottom w:val="single" w:color="000000" w:sz="8" w:space="0"/>
              <w:right w:val="single" w:color="000000" w:sz="8"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YYY-91-C铁质</w:t>
            </w:r>
          </w:p>
        </w:tc>
        <w:tc>
          <w:tcPr>
            <w:tcW w:w="525" w:type="pct"/>
            <w:tcBorders>
              <w:top w:val="single" w:color="000000" w:sz="8" w:space="0"/>
              <w:left w:val="nil"/>
              <w:bottom w:val="single" w:color="000000" w:sz="8" w:space="0"/>
              <w:right w:val="nil"/>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374" w:type="pct"/>
            <w:tcBorders>
              <w:top w:val="nil"/>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31</w:t>
            </w:r>
          </w:p>
        </w:tc>
        <w:tc>
          <w:tcPr>
            <w:tcW w:w="1322" w:type="pct"/>
            <w:tcBorders>
              <w:top w:val="single" w:color="000000" w:sz="8" w:space="0"/>
              <w:left w:val="nil"/>
              <w:bottom w:val="nil"/>
              <w:right w:val="nil"/>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诊查床</w:t>
            </w:r>
          </w:p>
        </w:tc>
        <w:tc>
          <w:tcPr>
            <w:tcW w:w="1681" w:type="pct"/>
            <w:tcBorders>
              <w:top w:val="nil"/>
              <w:left w:val="single" w:color="000000" w:sz="8" w:space="0"/>
              <w:bottom w:val="single" w:color="000000" w:sz="8" w:space="0"/>
              <w:right w:val="single" w:color="000000" w:sz="8"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1900X625X620</w:t>
            </w:r>
          </w:p>
        </w:tc>
        <w:tc>
          <w:tcPr>
            <w:tcW w:w="525" w:type="pct"/>
            <w:tcBorders>
              <w:top w:val="nil"/>
              <w:left w:val="nil"/>
              <w:bottom w:val="single" w:color="000000" w:sz="8" w:space="0"/>
              <w:right w:val="nil"/>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374" w:type="pct"/>
            <w:tcBorders>
              <w:top w:val="nil"/>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32</w:t>
            </w:r>
          </w:p>
        </w:tc>
        <w:tc>
          <w:tcPr>
            <w:tcW w:w="1322" w:type="pct"/>
            <w:tcBorders>
              <w:top w:val="single" w:color="000000" w:sz="8" w:space="0"/>
              <w:left w:val="nil"/>
              <w:bottom w:val="nil"/>
              <w:right w:val="nil"/>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紫外线灯架</w:t>
            </w:r>
          </w:p>
        </w:tc>
        <w:tc>
          <w:tcPr>
            <w:tcW w:w="1681" w:type="pct"/>
            <w:tcBorders>
              <w:top w:val="nil"/>
              <w:left w:val="single" w:color="000000" w:sz="8" w:space="0"/>
              <w:bottom w:val="single" w:color="000000" w:sz="8" w:space="0"/>
              <w:right w:val="single" w:color="000000" w:sz="8" w:space="0"/>
            </w:tcBorders>
            <w:shd w:val="clear" w:color="auto" w:fill="auto"/>
            <w:noWrap w:val="0"/>
            <w:vAlign w:val="bottom"/>
          </w:tcPr>
          <w:p>
            <w:pPr>
              <w:widowControl/>
              <w:spacing w:line="360" w:lineRule="exact"/>
              <w:jc w:val="center"/>
              <w:textAlignment w:val="bottom"/>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30W</w:t>
            </w:r>
          </w:p>
        </w:tc>
        <w:tc>
          <w:tcPr>
            <w:tcW w:w="525" w:type="pct"/>
            <w:tcBorders>
              <w:top w:val="nil"/>
              <w:left w:val="nil"/>
              <w:bottom w:val="single" w:color="000000" w:sz="8" w:space="0"/>
              <w:right w:val="nil"/>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支</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374" w:type="pct"/>
            <w:tcBorders>
              <w:top w:val="nil"/>
              <w:left w:val="single" w:color="000000" w:sz="8" w:space="0"/>
              <w:bottom w:val="single" w:color="auto" w:sz="4"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33</w:t>
            </w:r>
          </w:p>
        </w:tc>
        <w:tc>
          <w:tcPr>
            <w:tcW w:w="1322" w:type="pct"/>
            <w:tcBorders>
              <w:top w:val="single" w:color="000000" w:sz="8" w:space="0"/>
              <w:left w:val="nil"/>
              <w:bottom w:val="single" w:color="auto" w:sz="4"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紫外线杀菌灯管石英</w:t>
            </w:r>
          </w:p>
        </w:tc>
        <w:tc>
          <w:tcPr>
            <w:tcW w:w="1681" w:type="pct"/>
            <w:tcBorders>
              <w:top w:val="nil"/>
              <w:left w:val="nil"/>
              <w:bottom w:val="single" w:color="auto" w:sz="4"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36"30W</w:t>
            </w:r>
          </w:p>
        </w:tc>
        <w:tc>
          <w:tcPr>
            <w:tcW w:w="525" w:type="pct"/>
            <w:tcBorders>
              <w:top w:val="nil"/>
              <w:left w:val="nil"/>
              <w:bottom w:val="single" w:color="auto" w:sz="4" w:space="0"/>
              <w:right w:val="nil"/>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支</w:t>
            </w:r>
          </w:p>
        </w:tc>
        <w:tc>
          <w:tcPr>
            <w:tcW w:w="467" w:type="pct"/>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34</w:t>
            </w:r>
          </w:p>
        </w:tc>
        <w:tc>
          <w:tcPr>
            <w:tcW w:w="13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紫外线推车</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exact"/>
              <w:jc w:val="center"/>
              <w:rPr>
                <w:rFonts w:hint="eastAsia" w:ascii="宋体" w:hAnsi="宋体" w:eastAsia="宋体" w:cs="宋体"/>
                <w:color w:val="000000"/>
                <w:sz w:val="22"/>
                <w:szCs w:val="22"/>
              </w:rPr>
            </w:pPr>
          </w:p>
        </w:tc>
        <w:tc>
          <w:tcPr>
            <w:tcW w:w="52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35</w:t>
            </w:r>
          </w:p>
        </w:tc>
        <w:tc>
          <w:tcPr>
            <w:tcW w:w="13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药品阴凉柜</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鼎驰FL-400  400L</w:t>
            </w:r>
          </w:p>
        </w:tc>
        <w:tc>
          <w:tcPr>
            <w:tcW w:w="52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36</w:t>
            </w:r>
          </w:p>
        </w:tc>
        <w:tc>
          <w:tcPr>
            <w:tcW w:w="13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除颤仪</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exact"/>
              <w:jc w:val="center"/>
              <w:rPr>
                <w:rFonts w:hint="eastAsia" w:ascii="宋体" w:hAnsi="宋体" w:eastAsia="宋体" w:cs="宋体"/>
                <w:color w:val="000000"/>
                <w:sz w:val="22"/>
                <w:szCs w:val="22"/>
              </w:rPr>
            </w:pPr>
          </w:p>
        </w:tc>
        <w:tc>
          <w:tcPr>
            <w:tcW w:w="52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tc>
        <w:tc>
          <w:tcPr>
            <w:tcW w:w="628" w:type="pct"/>
            <w:vMerge w:val="continue"/>
            <w:tcBorders>
              <w:left w:val="single" w:color="000000" w:sz="4" w:space="0"/>
              <w:bottom w:val="single" w:color="000000" w:sz="4" w:space="0"/>
              <w:right w:val="single" w:color="auto" w:sz="4" w:space="0"/>
            </w:tcBorders>
            <w:noWrap w:val="0"/>
            <w:vAlign w:val="center"/>
          </w:tcPr>
          <w:p>
            <w:pPr>
              <w:spacing w:line="360" w:lineRule="exact"/>
              <w:jc w:val="center"/>
              <w:rPr>
                <w:rFonts w:hint="eastAsia" w:ascii="宋体" w:hAnsi="宋体" w:eastAsia="宋体" w:cs="宋体"/>
                <w:color w:val="000000"/>
                <w:sz w:val="22"/>
                <w:szCs w:val="22"/>
              </w:rPr>
            </w:pPr>
          </w:p>
        </w:tc>
      </w:tr>
      <w:bookmarkEnd w:id="4"/>
    </w:tbl>
    <w:p>
      <w:pPr>
        <w:widowControl/>
        <w:spacing w:line="360" w:lineRule="exact"/>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注：本清单所列内容仅供参考，所有资产的具体型号、规格及数量最终以实际交付清单为准。</w:t>
      </w:r>
    </w:p>
    <w:p>
      <w:pPr>
        <w:spacing w:line="360" w:lineRule="exact"/>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四、未涉及部分以第三部分 拟签订的合同文本约定为准</w:t>
      </w:r>
    </w:p>
    <w:p>
      <w:pPr>
        <w:snapToGrid w:val="0"/>
        <w:spacing w:line="360" w:lineRule="exact"/>
        <w:rPr>
          <w:rFonts w:hint="eastAsia" w:ascii="宋体" w:hAnsi="宋体" w:eastAsia="宋体" w:cs="宋体"/>
          <w:b/>
          <w:bCs/>
          <w:spacing w:val="-6"/>
          <w:sz w:val="22"/>
          <w:szCs w:val="22"/>
        </w:rPr>
      </w:pPr>
      <w:r>
        <w:rPr>
          <w:rFonts w:hint="eastAsia" w:ascii="宋体" w:hAnsi="宋体" w:eastAsia="宋体" w:cs="宋体"/>
          <w:b/>
          <w:bCs/>
          <w:spacing w:val="-6"/>
          <w:sz w:val="22"/>
          <w:szCs w:val="22"/>
        </w:rPr>
        <w:t>五、其他</w:t>
      </w:r>
    </w:p>
    <w:p>
      <w:pPr>
        <w:numPr>
          <w:ilvl w:val="0"/>
          <w:numId w:val="0"/>
        </w:numPr>
        <w:snapToGrid w:val="0"/>
        <w:spacing w:line="360" w:lineRule="exact"/>
        <w:ind w:firstLine="418" w:firstLineChars="200"/>
        <w:jc w:val="left"/>
        <w:rPr>
          <w:rFonts w:hint="eastAsia" w:ascii="宋体" w:hAnsi="宋体" w:eastAsia="宋体" w:cs="宋体"/>
          <w:b/>
          <w:bCs/>
          <w:spacing w:val="-6"/>
          <w:sz w:val="22"/>
          <w:szCs w:val="22"/>
        </w:rPr>
      </w:pPr>
      <w:r>
        <w:rPr>
          <w:rFonts w:hint="eastAsia" w:ascii="宋体" w:hAnsi="宋体" w:eastAsia="宋体" w:cs="宋体"/>
          <w:b/>
          <w:bCs/>
          <w:spacing w:val="-6"/>
          <w:sz w:val="22"/>
          <w:szCs w:val="22"/>
          <w:lang w:val="en-US" w:eastAsia="zh-CN"/>
        </w:rPr>
        <w:t>1.</w:t>
      </w:r>
      <w:r>
        <w:rPr>
          <w:rFonts w:hint="eastAsia" w:ascii="宋体" w:hAnsi="宋体" w:eastAsia="宋体" w:cs="宋体"/>
          <w:b/>
          <w:bCs/>
          <w:spacing w:val="-6"/>
          <w:sz w:val="22"/>
          <w:szCs w:val="22"/>
        </w:rPr>
        <w:t>带“▲且加下划线”的有关条款为实质性条款，</w:t>
      </w:r>
      <w:r>
        <w:rPr>
          <w:rFonts w:hint="eastAsia" w:ascii="宋体" w:hAnsi="宋体" w:eastAsia="宋体" w:cs="宋体"/>
          <w:b/>
          <w:bCs/>
          <w:spacing w:val="-6"/>
          <w:sz w:val="22"/>
          <w:szCs w:val="22"/>
          <w:lang w:eastAsia="zh-CN"/>
        </w:rPr>
        <w:t>供应商</w:t>
      </w:r>
      <w:r>
        <w:rPr>
          <w:rFonts w:hint="eastAsia" w:ascii="宋体" w:hAnsi="宋体" w:eastAsia="宋体" w:cs="宋体"/>
          <w:b/>
          <w:bCs/>
          <w:spacing w:val="-6"/>
          <w:sz w:val="22"/>
          <w:szCs w:val="22"/>
        </w:rPr>
        <w:t>必须做出实质性响应，不允许负偏离（负偏离系指低于采购需求），出现负偏离的将导致投标无效。</w:t>
      </w:r>
    </w:p>
    <w:p>
      <w:pPr>
        <w:numPr>
          <w:ilvl w:val="0"/>
          <w:numId w:val="0"/>
        </w:numPr>
        <w:snapToGrid w:val="0"/>
        <w:spacing w:line="360" w:lineRule="exact"/>
        <w:ind w:left="400" w:leftChars="0"/>
        <w:jc w:val="left"/>
        <w:rPr>
          <w:rFonts w:hint="eastAsia" w:ascii="宋体" w:hAnsi="宋体" w:eastAsia="宋体" w:cs="宋体"/>
          <w:b/>
          <w:bCs/>
          <w:spacing w:val="-6"/>
          <w:sz w:val="22"/>
          <w:szCs w:val="22"/>
        </w:rPr>
      </w:pPr>
      <w:r>
        <w:rPr>
          <w:rFonts w:hint="eastAsia" w:ascii="宋体" w:hAnsi="宋体" w:eastAsia="宋体" w:cs="宋体"/>
          <w:b/>
          <w:bCs/>
          <w:spacing w:val="-6"/>
          <w:sz w:val="22"/>
          <w:szCs w:val="22"/>
          <w:lang w:val="en-US" w:eastAsia="zh-CN"/>
        </w:rPr>
        <w:t>2.</w:t>
      </w:r>
      <w:r>
        <w:rPr>
          <w:rFonts w:hint="eastAsia" w:ascii="宋体" w:hAnsi="宋体" w:eastAsia="宋体" w:cs="宋体"/>
          <w:b/>
          <w:bCs/>
          <w:spacing w:val="-6"/>
          <w:sz w:val="22"/>
          <w:szCs w:val="22"/>
        </w:rPr>
        <w:t>如采购需求中未特别注明需执行的国家相关标准、行业标准、地方标准或者其他标准、规范，则统一执行最新标准、规范。</w:t>
      </w:r>
    </w:p>
    <w:p>
      <w:pPr>
        <w:ind w:firstLine="418" w:firstLineChars="200"/>
      </w:pPr>
      <w:r>
        <w:rPr>
          <w:rFonts w:hint="eastAsia" w:ascii="宋体" w:hAnsi="宋体" w:eastAsia="宋体" w:cs="宋体"/>
          <w:b/>
          <w:bCs/>
          <w:spacing w:val="-6"/>
          <w:sz w:val="22"/>
          <w:szCs w:val="22"/>
          <w:lang w:val="en-US" w:eastAsia="zh-CN"/>
        </w:rPr>
        <w:t>3.</w:t>
      </w:r>
      <w:r>
        <w:rPr>
          <w:rFonts w:hint="eastAsia" w:ascii="宋体" w:hAnsi="宋体" w:eastAsia="宋体" w:cs="宋体"/>
          <w:b/>
          <w:bCs/>
          <w:spacing w:val="-6"/>
          <w:sz w:val="22"/>
          <w:szCs w:val="22"/>
        </w:rPr>
        <w:t>采购需求中需要提供的证明材料有有效期的必须在有效期内，否则视为未提供。</w:t>
      </w:r>
    </w:p>
    <w:sectPr>
      <w:pgSz w:w="11906" w:h="16838"/>
      <w:pgMar w:top="1440" w:right="180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850206"/>
    <w:multiLevelType w:val="multilevel"/>
    <w:tmpl w:val="B8850206"/>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38F3E628"/>
    <w:multiLevelType w:val="singleLevel"/>
    <w:tmpl w:val="38F3E628"/>
    <w:lvl w:ilvl="0" w:tentative="0">
      <w:start w:val="1"/>
      <w:numFmt w:val="decimal"/>
      <w:suff w:val="nothing"/>
      <w:lvlText w:val="%1．"/>
      <w:lvlJc w:val="left"/>
      <w:pPr>
        <w:ind w:left="2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A4EC5"/>
    <w:rsid w:val="0CCB00EB"/>
    <w:rsid w:val="11973855"/>
    <w:rsid w:val="1249710A"/>
    <w:rsid w:val="237627E0"/>
    <w:rsid w:val="2FE64868"/>
    <w:rsid w:val="37F5166E"/>
    <w:rsid w:val="38CF70FA"/>
    <w:rsid w:val="38D15786"/>
    <w:rsid w:val="3C5F6574"/>
    <w:rsid w:val="3E253E1D"/>
    <w:rsid w:val="3F381A1B"/>
    <w:rsid w:val="41A0269E"/>
    <w:rsid w:val="52013EA5"/>
    <w:rsid w:val="532E47E6"/>
    <w:rsid w:val="55447C51"/>
    <w:rsid w:val="64D37B32"/>
    <w:rsid w:val="67657F8D"/>
    <w:rsid w:val="6E61619A"/>
    <w:rsid w:val="73D7455A"/>
    <w:rsid w:val="7566608E"/>
    <w:rsid w:val="791901E6"/>
    <w:rsid w:val="7B083BD7"/>
    <w:rsid w:val="7B4D4011"/>
    <w:rsid w:val="7B5D74C6"/>
    <w:rsid w:val="7FA52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numPr>
        <w:ilvl w:val="1"/>
        <w:numId w:val="1"/>
      </w:numPr>
      <w:spacing w:line="413" w:lineRule="auto"/>
      <w:outlineLvl w:val="1"/>
    </w:pPr>
    <w:rPr>
      <w:rFonts w:ascii="Arial" w:hAnsi="Arial"/>
      <w:b/>
      <w:kern w:val="0"/>
      <w:sz w:val="32"/>
      <w:szCs w:val="2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lock Text"/>
    <w:basedOn w:val="1"/>
    <w:next w:val="1"/>
    <w:qFormat/>
    <w:uiPriority w:val="0"/>
    <w:pPr>
      <w:spacing w:after="120"/>
      <w:ind w:left="1440" w:leftChars="700" w:right="1440" w:rightChars="700"/>
    </w:pPr>
  </w:style>
  <w:style w:type="paragraph" w:styleId="4">
    <w:name w:val="annotation text"/>
    <w:basedOn w:val="1"/>
    <w:qFormat/>
    <w:uiPriority w:val="0"/>
    <w:pPr>
      <w:jc w:val="left"/>
    </w:pPr>
  </w:style>
  <w:style w:type="paragraph" w:styleId="5">
    <w:name w:val="Plain Text"/>
    <w:basedOn w:val="1"/>
    <w:next w:val="6"/>
    <w:qFormat/>
    <w:uiPriority w:val="0"/>
    <w:pPr>
      <w:widowControl/>
      <w:overflowPunct w:val="0"/>
      <w:autoSpaceDE w:val="0"/>
      <w:autoSpaceDN w:val="0"/>
      <w:adjustRightInd w:val="0"/>
      <w:jc w:val="left"/>
      <w:textAlignment w:val="baseline"/>
    </w:pPr>
    <w:rPr>
      <w:rFonts w:ascii="宋体" w:hAnsi="Courier New"/>
      <w:sz w:val="24"/>
    </w:rPr>
  </w:style>
  <w:style w:type="paragraph" w:styleId="6">
    <w:name w:val="toc 2"/>
    <w:basedOn w:val="1"/>
    <w:next w:val="1"/>
    <w:qFormat/>
    <w:uiPriority w:val="39"/>
    <w:pPr>
      <w:tabs>
        <w:tab w:val="right" w:leader="dot" w:pos="8302"/>
      </w:tabs>
      <w:ind w:leftChars="200"/>
    </w:pPr>
    <w:rPr>
      <w:b/>
      <w:sz w:val="24"/>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无间隔1"/>
    <w:qFormat/>
    <w:uiPriority w:val="1"/>
    <w:pPr>
      <w:widowControl w:val="0"/>
      <w:snapToGrid w:val="0"/>
      <w:jc w:val="both"/>
    </w:pPr>
    <w:rPr>
      <w:rFonts w:ascii="Times New Roman" w:hAnsi="Times New Roman" w:eastAsia="宋体" w:cs="Times New Roman"/>
      <w:kern w:val="2"/>
      <w:sz w:val="21"/>
      <w:szCs w:val="24"/>
      <w:lang w:val="en-US" w:eastAsia="zh-CN" w:bidi="ar-SA"/>
    </w:rPr>
  </w:style>
  <w:style w:type="character" w:customStyle="1" w:styleId="11">
    <w:name w:val="font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2025-11-06T10:42:00Z</dcterms:created>
  <dc:creator>Administrator</dc:creator>
  <cp:lastModifiedBy>浙江乐诚</cp:lastModifiedBy>
  <dcterms:modified xsi:type="dcterms:W3CDTF">2026-01-06T08:49:20Z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eyJoZGlkIjoiNTNhY2ExODEzNWYyYTc4ZWM2ODBiMGYyZGEwNTFhNzUiLCJ1c2VySWQiOiIxNDUyODY0NDI2In0=</vt:lpwstr>
  </property>
  <property fmtid="{D5CDD505-2E9C-101B-9397-08002B2CF9AE}" pid="4" name="ICV">
    <vt:lpwstr>7FCF9C3E96854245894C116AA09AC7AF_12</vt:lpwstr>
  </property>
</Properties>
</file>